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586E" w:rsidR="000E6AD0" w:rsidP="54B23EEB" w:rsidRDefault="54B23EEB" w14:paraId="51D9C57C" w14:textId="5B0AF49D">
      <w:pPr>
        <w:spacing w:after="0"/>
        <w:jc w:val="right"/>
        <w:rPr>
          <w:lang w:val="en-US"/>
        </w:rPr>
      </w:pPr>
      <w:proofErr w:type="spellStart"/>
      <w:r w:rsidRPr="54B23EEB">
        <w:rPr>
          <w:lang w:val="en-US"/>
        </w:rPr>
        <w:t>C</w:t>
      </w:r>
      <w:bookmarkStart w:name="_GoBack" w:id="0"/>
      <w:bookmarkEnd w:id="0"/>
      <w:r w:rsidRPr="54B23EEB">
        <w:rPr>
          <w:lang w:val="en-US"/>
        </w:rPr>
        <w:t>EL</w:t>
      </w:r>
      <w:proofErr w:type="spellEnd"/>
      <w:r w:rsidRPr="54B23EEB">
        <w:rPr>
          <w:lang w:val="en-US"/>
        </w:rPr>
        <w:t>/22/02/2019</w:t>
      </w:r>
    </w:p>
    <w:p w:rsidRPr="001C3CEE" w:rsidR="54B23EEB" w:rsidRDefault="54B23EEB" w14:paraId="3B4AAA1E" w14:textId="09EE9708">
      <w:pPr>
        <w:rPr>
          <w:lang w:val="en-US"/>
        </w:rPr>
      </w:pPr>
      <w:r w:rsidRPr="54B23EEB">
        <w:rPr>
          <w:rFonts w:ascii="Calibri" w:hAnsi="Calibri" w:eastAsia="Calibri" w:cs="Calibri"/>
          <w:sz w:val="32"/>
          <w:szCs w:val="32"/>
          <w:lang w:val="en-US"/>
        </w:rPr>
        <w:t>Applying for co-financing of assistant professors, postdocs and PhD students, Department of Political Science and Public Management</w:t>
      </w:r>
    </w:p>
    <w:p w:rsidR="54B23EEB" w:rsidP="54B23EEB" w:rsidRDefault="54B23EEB" w14:paraId="502EF615" w14:textId="57F536E4">
      <w:pPr>
        <w:rPr>
          <w:rFonts w:ascii="Calibri" w:hAnsi="Calibri" w:eastAsia="Calibri" w:cs="Calibri"/>
          <w:i/>
          <w:iCs/>
          <w:lang w:val="en-US"/>
        </w:rPr>
      </w:pPr>
      <w:r w:rsidRPr="54B23EEB">
        <w:rPr>
          <w:rFonts w:ascii="Calibri" w:hAnsi="Calibri" w:eastAsia="Calibri" w:cs="Calibri"/>
          <w:i/>
          <w:iCs/>
          <w:lang w:val="en-US"/>
        </w:rPr>
        <w:t>Background</w:t>
      </w:r>
    </w:p>
    <w:p w:rsidR="54B23EEB" w:rsidP="03E560AF" w:rsidRDefault="54B23EEB" w14:paraId="49C36D68" w14:textId="79429BCC">
      <w:pPr>
        <w:rPr>
          <w:rFonts w:ascii="Calibri" w:hAnsi="Calibri" w:eastAsia="Calibri" w:cs="Calibri"/>
          <w:lang w:val="en-US"/>
        </w:rPr>
      </w:pPr>
      <w:r w:rsidRPr="03E560AF" w:rsidR="03E560AF">
        <w:rPr>
          <w:rFonts w:ascii="Calibri" w:hAnsi="Calibri" w:eastAsia="Calibri" w:cs="Calibri"/>
          <w:lang w:val="en-US"/>
        </w:rPr>
        <w:t>The department and faculty dedicate a great number of resources to attract external funding in order to conduct high-quality and pioneering research. In extraordinary cases the department may choose to co-sponsor a position of an assistant professor, post doc and PhD to increase the chances of the department meeting one of its strategic goals. To ensure a transparent but also timely process for co-financing, the following model has been implemented.</w:t>
      </w:r>
      <w:r>
        <w:br/>
      </w:r>
      <w:r w:rsidRPr="03E560AF" w:rsidR="03E560AF">
        <w:rPr>
          <w:rFonts w:ascii="Calibri" w:hAnsi="Calibri" w:eastAsia="Calibri" w:cs="Calibri"/>
          <w:lang w:val="en-US"/>
        </w:rPr>
        <w:t xml:space="preserve"> The model for co-financing was introduced January 1, 2016 and has been subject to minor alterations. </w:t>
      </w:r>
    </w:p>
    <w:p w:rsidR="54B23EEB" w:rsidP="54B23EEB" w:rsidRDefault="54B23EEB" w14:paraId="60C4F40E" w14:textId="6001FA2B">
      <w:pPr>
        <w:rPr>
          <w:rFonts w:ascii="Calibri" w:hAnsi="Calibri" w:eastAsia="Calibri" w:cs="Calibri"/>
          <w:lang w:val="en-US"/>
        </w:rPr>
      </w:pPr>
      <w:r w:rsidRPr="54B23EEB">
        <w:rPr>
          <w:rFonts w:ascii="Calibri" w:hAnsi="Calibri" w:eastAsia="Calibri" w:cs="Calibri"/>
          <w:lang w:val="en-US"/>
        </w:rPr>
        <w:t xml:space="preserve">The purposes of the model are: </w:t>
      </w:r>
    </w:p>
    <w:p w:rsidRPr="001C3CEE" w:rsidR="54B23EEB" w:rsidP="54B23EEB" w:rsidRDefault="54B23EEB" w14:paraId="2D95EFAF" w14:textId="6B59B933">
      <w:pPr>
        <w:pStyle w:val="ListParagraph"/>
        <w:numPr>
          <w:ilvl w:val="0"/>
          <w:numId w:val="2"/>
        </w:numPr>
        <w:rPr>
          <w:color w:val="000000" w:themeColor="text1"/>
          <w:lang w:val="en-US"/>
        </w:rPr>
      </w:pPr>
      <w:r w:rsidRPr="54B23EEB">
        <w:rPr>
          <w:rFonts w:ascii="Calibri" w:hAnsi="Calibri" w:eastAsia="Calibri" w:cs="Calibri"/>
          <w:color w:val="000000" w:themeColor="text1"/>
          <w:lang w:val="en-US"/>
        </w:rPr>
        <w:t>to make it transparent to all that it is possible to apply for co-financing of a temporary position, e.g. when applying for large research grants, but also to underline what the conditions for receiving co-financing is;</w:t>
      </w:r>
    </w:p>
    <w:p w:rsidRPr="001C3CEE" w:rsidR="54B23EEB" w:rsidP="54B23EEB" w:rsidRDefault="54B23EEB" w14:paraId="4528C58D" w14:textId="6F3FCB9A">
      <w:pPr>
        <w:pStyle w:val="ListParagraph"/>
        <w:numPr>
          <w:ilvl w:val="0"/>
          <w:numId w:val="2"/>
        </w:numPr>
        <w:rPr>
          <w:color w:val="000000" w:themeColor="text1"/>
          <w:lang w:val="en-US"/>
        </w:rPr>
      </w:pPr>
      <w:r w:rsidRPr="54B23EEB">
        <w:rPr>
          <w:rFonts w:ascii="Calibri" w:hAnsi="Calibri" w:eastAsia="Calibri" w:cs="Calibri"/>
          <w:color w:val="000000" w:themeColor="text1"/>
          <w:lang w:val="en-US"/>
        </w:rPr>
        <w:t>to have fixed deadlines for applications for co-financing in relation to external funding, and</w:t>
      </w:r>
    </w:p>
    <w:p w:rsidRPr="001C3CEE" w:rsidR="54B23EEB" w:rsidP="54B23EEB" w:rsidRDefault="54B23EEB" w14:paraId="01B9E60E" w14:textId="6E257041">
      <w:pPr>
        <w:pStyle w:val="ListParagraph"/>
        <w:numPr>
          <w:ilvl w:val="0"/>
          <w:numId w:val="2"/>
        </w:numPr>
        <w:rPr>
          <w:color w:val="000000" w:themeColor="text1"/>
          <w:lang w:val="en-US"/>
        </w:rPr>
      </w:pPr>
      <w:r w:rsidRPr="54B23EEB">
        <w:rPr>
          <w:rFonts w:ascii="Calibri" w:hAnsi="Calibri" w:eastAsia="Calibri" w:cs="Calibri"/>
          <w:color w:val="000000" w:themeColor="text1"/>
          <w:lang w:val="en-US"/>
        </w:rPr>
        <w:t>to ensure that applications arrive early and, accordingly, minimize cases of fast-tracking.</w:t>
      </w:r>
    </w:p>
    <w:p w:rsidR="54B23EEB" w:rsidP="54B23EEB" w:rsidRDefault="54B23EEB" w14:paraId="747105E6" w14:textId="699695C0">
      <w:pPr>
        <w:rPr>
          <w:rFonts w:ascii="Calibri" w:hAnsi="Calibri" w:eastAsia="Calibri" w:cs="Calibri"/>
          <w:i/>
          <w:iCs/>
          <w:lang w:val="en-US"/>
        </w:rPr>
      </w:pPr>
      <w:r w:rsidRPr="54B23EEB">
        <w:rPr>
          <w:rFonts w:ascii="Calibri" w:hAnsi="Calibri" w:eastAsia="Calibri" w:cs="Calibri"/>
          <w:i/>
          <w:iCs/>
          <w:lang w:val="en-US"/>
        </w:rPr>
        <w:t>Model as of February 2019</w:t>
      </w:r>
    </w:p>
    <w:p w:rsidRPr="001C3CEE" w:rsidR="54B23EEB" w:rsidP="54B23EEB" w:rsidRDefault="54B23EEB" w14:paraId="650149FD" w14:textId="167AAB17">
      <w:pPr>
        <w:pStyle w:val="ListParagraph"/>
        <w:numPr>
          <w:ilvl w:val="0"/>
          <w:numId w:val="1"/>
        </w:numPr>
        <w:rPr>
          <w:color w:val="000000" w:themeColor="text1"/>
          <w:lang w:val="en-US"/>
        </w:rPr>
      </w:pPr>
      <w:r w:rsidRPr="54B23EEB">
        <w:rPr>
          <w:rFonts w:ascii="Calibri" w:hAnsi="Calibri" w:eastAsia="Calibri" w:cs="Calibri"/>
          <w:color w:val="000000" w:themeColor="text1"/>
          <w:lang w:val="en-US"/>
        </w:rPr>
        <w:t>The department will only co-finance a temporary employment in extraordinary cases – and only if the project clearly supports either the department strategy or the section’s research strategy</w:t>
      </w:r>
    </w:p>
    <w:p w:rsidRPr="001C3CEE" w:rsidR="54B23EEB" w:rsidP="54B23EEB" w:rsidRDefault="54B23EEB" w14:paraId="406B9A2C" w14:textId="59A6592F">
      <w:pPr>
        <w:pStyle w:val="ListParagraph"/>
        <w:numPr>
          <w:ilvl w:val="0"/>
          <w:numId w:val="1"/>
        </w:numPr>
        <w:rPr>
          <w:color w:val="000000" w:themeColor="text1"/>
          <w:lang w:val="en-US"/>
        </w:rPr>
      </w:pPr>
      <w:r w:rsidRPr="54B23EEB">
        <w:rPr>
          <w:rFonts w:ascii="Calibri" w:hAnsi="Calibri" w:eastAsia="Calibri" w:cs="Calibri"/>
          <w:color w:val="000000" w:themeColor="text1"/>
          <w:lang w:val="en-US"/>
        </w:rPr>
        <w:t xml:space="preserve">Everyone applying for large external grants (e.g. Carlsberg, </w:t>
      </w:r>
      <w:proofErr w:type="spellStart"/>
      <w:r w:rsidRPr="54B23EEB">
        <w:rPr>
          <w:rFonts w:ascii="Calibri" w:hAnsi="Calibri" w:eastAsia="Calibri" w:cs="Calibri"/>
          <w:color w:val="000000" w:themeColor="text1"/>
          <w:lang w:val="en-US"/>
        </w:rPr>
        <w:t>FSE</w:t>
      </w:r>
      <w:proofErr w:type="spellEnd"/>
      <w:r w:rsidRPr="54B23EEB">
        <w:rPr>
          <w:rFonts w:ascii="Calibri" w:hAnsi="Calibri" w:eastAsia="Calibri" w:cs="Calibri"/>
          <w:color w:val="000000" w:themeColor="text1"/>
          <w:lang w:val="en-US"/>
        </w:rPr>
        <w:t>, EU, etc.) or having other funds at their disposal can apply the department for co-financing of an assistant professor, post doc or PhD positions. However, such applications must be discussed with the relevant head of section before submission.</w:t>
      </w:r>
    </w:p>
    <w:p w:rsidRPr="001C3CEE" w:rsidR="54B23EEB" w:rsidP="54B23EEB" w:rsidRDefault="54B23EEB" w14:paraId="5A001CD4" w14:textId="5EF323DB">
      <w:pPr>
        <w:pStyle w:val="ListParagraph"/>
        <w:numPr>
          <w:ilvl w:val="0"/>
          <w:numId w:val="1"/>
        </w:numPr>
        <w:rPr>
          <w:color w:val="000000" w:themeColor="text1"/>
          <w:lang w:val="en-US"/>
        </w:rPr>
      </w:pPr>
      <w:r w:rsidRPr="54B23EEB">
        <w:rPr>
          <w:rFonts w:ascii="Calibri" w:hAnsi="Calibri" w:eastAsia="Calibri" w:cs="Calibri"/>
          <w:color w:val="000000" w:themeColor="text1"/>
          <w:lang w:val="en-US"/>
        </w:rPr>
        <w:t xml:space="preserve">The application deadline for co-financing is 6 weeks prior to the deadline for the full external funding application or the deadline for submitting application for changing existing budgets. </w:t>
      </w:r>
    </w:p>
    <w:p w:rsidRPr="001C3CEE" w:rsidR="54B23EEB" w:rsidP="54B23EEB" w:rsidRDefault="54B23EEB" w14:paraId="485BDA0C" w14:textId="4F1F48FF">
      <w:pPr>
        <w:pStyle w:val="ListParagraph"/>
        <w:numPr>
          <w:ilvl w:val="0"/>
          <w:numId w:val="1"/>
        </w:numPr>
        <w:rPr>
          <w:color w:val="000000" w:themeColor="text1"/>
          <w:lang w:val="en-US"/>
        </w:rPr>
      </w:pPr>
      <w:r w:rsidRPr="54B23EEB">
        <w:rPr>
          <w:rFonts w:ascii="Calibri" w:hAnsi="Calibri" w:eastAsia="Calibri" w:cs="Calibri"/>
          <w:color w:val="000000" w:themeColor="text1"/>
          <w:lang w:val="en-US"/>
        </w:rPr>
        <w:t xml:space="preserve">It is possible to apply for co-financing for researchers who are not employed at the department when they apply. As such the department is open to externals who wants to apply for significant funds and thus pay their own salary at SDU in case the funding is granted. For externals to be eligible to apply for co-financing they must be endorsed by the relevant Head of Section to ensure a match between the supposed project and the section strategy. Furthermore, the overhead of the grant applied for must cover </w:t>
      </w:r>
      <w:r w:rsidRPr="54B23EEB">
        <w:rPr>
          <w:rFonts w:ascii="Calibri" w:hAnsi="Calibri" w:eastAsia="Calibri" w:cs="Calibri"/>
          <w:i/>
          <w:iCs/>
          <w:color w:val="000000" w:themeColor="text1"/>
          <w:lang w:val="en-US"/>
        </w:rPr>
        <w:t>at least</w:t>
      </w:r>
      <w:r w:rsidRPr="54B23EEB">
        <w:rPr>
          <w:rFonts w:ascii="Calibri" w:hAnsi="Calibri" w:eastAsia="Calibri" w:cs="Calibri"/>
          <w:color w:val="000000" w:themeColor="text1"/>
          <w:lang w:val="en-US"/>
        </w:rPr>
        <w:t xml:space="preserve"> a) all expenses the department would have towards wage and pensions (the sum of the co-financing), b) the SDU “project tax” (currently 10% of the total project budget), and c) a departmental housing fee of 50.000 DKK a year.</w:t>
      </w:r>
    </w:p>
    <w:p w:rsidRPr="001C3CEE" w:rsidR="54B23EEB" w:rsidP="54B23EEB" w:rsidRDefault="54B23EEB" w14:paraId="6E56684C" w14:textId="1192BAD4">
      <w:pPr>
        <w:pStyle w:val="ListParagraph"/>
        <w:numPr>
          <w:ilvl w:val="0"/>
          <w:numId w:val="1"/>
        </w:numPr>
        <w:rPr>
          <w:color w:val="000000" w:themeColor="text1"/>
          <w:lang w:val="en-US"/>
        </w:rPr>
      </w:pPr>
      <w:r w:rsidRPr="54B23EEB">
        <w:rPr>
          <w:rFonts w:ascii="Calibri" w:hAnsi="Calibri" w:eastAsia="Calibri" w:cs="Calibri"/>
          <w:color w:val="000000" w:themeColor="text1"/>
          <w:lang w:val="en-US"/>
        </w:rPr>
        <w:t xml:space="preserve">Applications should be sent to the Head of Department, and they must hold a preliminary project description and a budget. The application must also contain a statement on how the project may contribute to gender equality and to the applicant’s research profile/ further career. </w:t>
      </w:r>
    </w:p>
    <w:p w:rsidRPr="001C3CEE" w:rsidR="54B23EEB" w:rsidP="54B23EEB" w:rsidRDefault="54B23EEB" w14:paraId="5DF7C500" w14:textId="28FCED7C">
      <w:pPr>
        <w:pStyle w:val="ListParagraph"/>
        <w:numPr>
          <w:ilvl w:val="0"/>
          <w:numId w:val="1"/>
        </w:numPr>
        <w:rPr>
          <w:color w:val="000000" w:themeColor="text1"/>
          <w:lang w:val="en-US"/>
        </w:rPr>
      </w:pPr>
      <w:r w:rsidRPr="54B23EEB">
        <w:rPr>
          <w:rFonts w:ascii="Calibri" w:hAnsi="Calibri" w:eastAsia="Calibri" w:cs="Calibri"/>
          <w:color w:val="000000" w:themeColor="text1"/>
          <w:lang w:val="en-US"/>
        </w:rPr>
        <w:t>All applications will be assessed by the department management team to qualify the Head of Department’s final decision.</w:t>
      </w:r>
    </w:p>
    <w:sectPr w:rsidRPr="001C3CEE" w:rsidR="54B23EEB">
      <w:headerReference w:type="default" r:id="rId11"/>
      <w:pgSz w:w="11906" w:h="16838" w:orient="portrait"/>
      <w:pgMar w:top="1701" w:right="1134" w:bottom="1701" w:left="1134" w:header="708" w:footer="708" w:gutter="0"/>
      <w:cols w:space="708"/>
      <w:docGrid w:linePitch="360"/>
      <w:footerReference w:type="default" r:id="R6cae4482af2c42f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ABE" w:rsidP="00464ABE" w:rsidRDefault="00464ABE" w14:paraId="03CA66CF" w14:textId="77777777">
      <w:pPr>
        <w:spacing w:after="0" w:line="240" w:lineRule="auto"/>
      </w:pPr>
      <w:r>
        <w:separator/>
      </w:r>
    </w:p>
  </w:endnote>
  <w:endnote w:type="continuationSeparator" w:id="0">
    <w:p w:rsidR="00464ABE" w:rsidP="00464ABE" w:rsidRDefault="00464ABE" w14:paraId="7DC67A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213"/>
      <w:gridCol w:w="3213"/>
      <w:gridCol w:w="3213"/>
    </w:tblGrid>
    <w:tr w:rsidR="3E6941F1" w:rsidTr="3E6941F1" w14:paraId="56E3432F">
      <w:tc>
        <w:tcPr>
          <w:tcW w:w="3213" w:type="dxa"/>
          <w:tcMar/>
        </w:tcPr>
        <w:p w:rsidR="3E6941F1" w:rsidP="3E6941F1" w:rsidRDefault="3E6941F1" w14:paraId="373A7350" w14:textId="3C5B1CC7">
          <w:pPr>
            <w:pStyle w:val="Header"/>
            <w:bidi w:val="0"/>
            <w:ind w:left="-115"/>
            <w:jc w:val="left"/>
          </w:pPr>
        </w:p>
      </w:tc>
      <w:tc>
        <w:tcPr>
          <w:tcW w:w="3213" w:type="dxa"/>
          <w:tcMar/>
        </w:tcPr>
        <w:p w:rsidR="3E6941F1" w:rsidP="3E6941F1" w:rsidRDefault="3E6941F1" w14:paraId="423A981F" w14:textId="6518FE45">
          <w:pPr>
            <w:pStyle w:val="Header"/>
            <w:bidi w:val="0"/>
            <w:jc w:val="center"/>
          </w:pPr>
        </w:p>
      </w:tc>
      <w:tc>
        <w:tcPr>
          <w:tcW w:w="3213" w:type="dxa"/>
          <w:tcMar/>
        </w:tcPr>
        <w:p w:rsidR="3E6941F1" w:rsidP="3E6941F1" w:rsidRDefault="3E6941F1" w14:paraId="322E7027" w14:textId="7283C770">
          <w:pPr>
            <w:pStyle w:val="Header"/>
            <w:bidi w:val="0"/>
            <w:ind w:right="-115"/>
            <w:jc w:val="right"/>
          </w:pPr>
        </w:p>
      </w:tc>
    </w:tr>
  </w:tbl>
  <w:p w:rsidR="3E6941F1" w:rsidP="3E6941F1" w:rsidRDefault="3E6941F1" w14:paraId="063F11E0" w14:textId="243118D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ABE" w:rsidP="00464ABE" w:rsidRDefault="00464ABE" w14:paraId="29604807" w14:textId="77777777">
      <w:pPr>
        <w:spacing w:after="0" w:line="240" w:lineRule="auto"/>
      </w:pPr>
      <w:r>
        <w:separator/>
      </w:r>
    </w:p>
  </w:footnote>
  <w:footnote w:type="continuationSeparator" w:id="0">
    <w:p w:rsidR="00464ABE" w:rsidP="00464ABE" w:rsidRDefault="00464ABE" w14:paraId="209F8A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BE" w:rsidRDefault="00464ABE" w14:paraId="34092199" w14:textId="365F4EC8">
    <w:pPr>
      <w:pStyle w:val="Header"/>
    </w:pPr>
    <w:r>
      <w:tab/>
    </w:r>
    <w:r>
      <w:tab/>
    </w:r>
    <w:r>
      <w:t xml:space="preserve"> </w:t>
    </w:r>
    <w:proofErr w:type="spellStart"/>
    <w:r w:rsidR="001C3CEE">
      <w:t>A</w:t>
    </w:r>
    <w:r>
      <w:t>pproved</w:t>
    </w:r>
    <w:proofErr w:type="spellEnd"/>
    <w:r w:rsidR="001C3CEE">
      <w:t xml:space="preserve"> </w:t>
    </w:r>
    <w:proofErr w:type="gramStart"/>
    <w:r w:rsidR="001C3CEE">
      <w:t>Feb.</w:t>
    </w:r>
    <w:proofErr w:type="gramEnd"/>
    <w:r w:rsidR="001C3CEE">
      <w:t xml:space="preserve"> </w:t>
    </w:r>
    <w:r w:rsidR="00E369FC">
      <w:t>26, 2019</w:t>
    </w:r>
    <w:r w:rsidR="001C3C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2B8"/>
    <w:multiLevelType w:val="hybridMultilevel"/>
    <w:tmpl w:val="CBAAE968"/>
    <w:lvl w:ilvl="0" w:tplc="8CFE9954">
      <w:numFmt w:val="bullet"/>
      <w:lvlText w:val="-"/>
      <w:lvlJc w:val="left"/>
      <w:pPr>
        <w:ind w:left="720" w:hanging="360"/>
      </w:pPr>
      <w:rPr>
        <w:rFonts w:hint="default" w:ascii="Calibri" w:hAnsi="Calibri"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161842B6"/>
    <w:multiLevelType w:val="hybridMultilevel"/>
    <w:tmpl w:val="4EB634B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2F11A3"/>
    <w:multiLevelType w:val="hybridMultilevel"/>
    <w:tmpl w:val="D0C84792"/>
    <w:lvl w:ilvl="0" w:tplc="C7C8D9D2">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4D74808"/>
    <w:multiLevelType w:val="hybridMultilevel"/>
    <w:tmpl w:val="343AE30E"/>
    <w:lvl w:ilvl="0" w:tplc="13E48AD6">
      <w:start w:val="1"/>
      <w:numFmt w:val="bullet"/>
      <w:lvlText w:val=""/>
      <w:lvlJc w:val="left"/>
      <w:pPr>
        <w:ind w:left="720" w:hanging="360"/>
      </w:pPr>
      <w:rPr>
        <w:rFonts w:hint="default" w:ascii="Symbol" w:hAnsi="Symbol"/>
      </w:rPr>
    </w:lvl>
    <w:lvl w:ilvl="1" w:tplc="ABB6D178">
      <w:start w:val="1"/>
      <w:numFmt w:val="bullet"/>
      <w:lvlText w:val="o"/>
      <w:lvlJc w:val="left"/>
      <w:pPr>
        <w:ind w:left="1440" w:hanging="360"/>
      </w:pPr>
      <w:rPr>
        <w:rFonts w:hint="default" w:ascii="Courier New" w:hAnsi="Courier New"/>
      </w:rPr>
    </w:lvl>
    <w:lvl w:ilvl="2" w:tplc="76FC295E">
      <w:start w:val="1"/>
      <w:numFmt w:val="bullet"/>
      <w:lvlText w:val=""/>
      <w:lvlJc w:val="left"/>
      <w:pPr>
        <w:ind w:left="2160" w:hanging="360"/>
      </w:pPr>
      <w:rPr>
        <w:rFonts w:hint="default" w:ascii="Wingdings" w:hAnsi="Wingdings"/>
      </w:rPr>
    </w:lvl>
    <w:lvl w:ilvl="3" w:tplc="65249B8A">
      <w:start w:val="1"/>
      <w:numFmt w:val="bullet"/>
      <w:lvlText w:val=""/>
      <w:lvlJc w:val="left"/>
      <w:pPr>
        <w:ind w:left="2880" w:hanging="360"/>
      </w:pPr>
      <w:rPr>
        <w:rFonts w:hint="default" w:ascii="Symbol" w:hAnsi="Symbol"/>
      </w:rPr>
    </w:lvl>
    <w:lvl w:ilvl="4" w:tplc="77A43796">
      <w:start w:val="1"/>
      <w:numFmt w:val="bullet"/>
      <w:lvlText w:val="o"/>
      <w:lvlJc w:val="left"/>
      <w:pPr>
        <w:ind w:left="3600" w:hanging="360"/>
      </w:pPr>
      <w:rPr>
        <w:rFonts w:hint="default" w:ascii="Courier New" w:hAnsi="Courier New"/>
      </w:rPr>
    </w:lvl>
    <w:lvl w:ilvl="5" w:tplc="D4124250">
      <w:start w:val="1"/>
      <w:numFmt w:val="bullet"/>
      <w:lvlText w:val=""/>
      <w:lvlJc w:val="left"/>
      <w:pPr>
        <w:ind w:left="4320" w:hanging="360"/>
      </w:pPr>
      <w:rPr>
        <w:rFonts w:hint="default" w:ascii="Wingdings" w:hAnsi="Wingdings"/>
      </w:rPr>
    </w:lvl>
    <w:lvl w:ilvl="6" w:tplc="746CAF52">
      <w:start w:val="1"/>
      <w:numFmt w:val="bullet"/>
      <w:lvlText w:val=""/>
      <w:lvlJc w:val="left"/>
      <w:pPr>
        <w:ind w:left="5040" w:hanging="360"/>
      </w:pPr>
      <w:rPr>
        <w:rFonts w:hint="default" w:ascii="Symbol" w:hAnsi="Symbol"/>
      </w:rPr>
    </w:lvl>
    <w:lvl w:ilvl="7" w:tplc="78EC7AB8">
      <w:start w:val="1"/>
      <w:numFmt w:val="bullet"/>
      <w:lvlText w:val="o"/>
      <w:lvlJc w:val="left"/>
      <w:pPr>
        <w:ind w:left="5760" w:hanging="360"/>
      </w:pPr>
      <w:rPr>
        <w:rFonts w:hint="default" w:ascii="Courier New" w:hAnsi="Courier New"/>
      </w:rPr>
    </w:lvl>
    <w:lvl w:ilvl="8" w:tplc="8B4A15B2">
      <w:start w:val="1"/>
      <w:numFmt w:val="bullet"/>
      <w:lvlText w:val=""/>
      <w:lvlJc w:val="left"/>
      <w:pPr>
        <w:ind w:left="6480" w:hanging="360"/>
      </w:pPr>
      <w:rPr>
        <w:rFonts w:hint="default" w:ascii="Wingdings" w:hAnsi="Wingdings"/>
      </w:rPr>
    </w:lvl>
  </w:abstractNum>
  <w:abstractNum w:abstractNumId="4" w15:restartNumberingAfterBreak="0">
    <w:nsid w:val="4DFD33CA"/>
    <w:multiLevelType w:val="hybridMultilevel"/>
    <w:tmpl w:val="44A4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06B59"/>
    <w:multiLevelType w:val="hybridMultilevel"/>
    <w:tmpl w:val="833275D6"/>
    <w:lvl w:ilvl="0" w:tplc="2C12FA80">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8E437C4"/>
    <w:multiLevelType w:val="hybridMultilevel"/>
    <w:tmpl w:val="15C8F94C"/>
    <w:lvl w:ilvl="0" w:tplc="96221548">
      <w:start w:val="1"/>
      <w:numFmt w:val="decimal"/>
      <w:lvlText w:val="%1."/>
      <w:lvlJc w:val="left"/>
      <w:pPr>
        <w:ind w:left="720" w:hanging="360"/>
      </w:pPr>
    </w:lvl>
    <w:lvl w:ilvl="1" w:tplc="D6BEEE1A">
      <w:start w:val="1"/>
      <w:numFmt w:val="lowerLetter"/>
      <w:lvlText w:val="%2."/>
      <w:lvlJc w:val="left"/>
      <w:pPr>
        <w:ind w:left="1440" w:hanging="360"/>
      </w:pPr>
    </w:lvl>
    <w:lvl w:ilvl="2" w:tplc="EB7CBA9E">
      <w:start w:val="1"/>
      <w:numFmt w:val="lowerRoman"/>
      <w:lvlText w:val="%3."/>
      <w:lvlJc w:val="right"/>
      <w:pPr>
        <w:ind w:left="2160" w:hanging="180"/>
      </w:pPr>
    </w:lvl>
    <w:lvl w:ilvl="3" w:tplc="BEC416C8">
      <w:start w:val="1"/>
      <w:numFmt w:val="decimal"/>
      <w:lvlText w:val="%4."/>
      <w:lvlJc w:val="left"/>
      <w:pPr>
        <w:ind w:left="2880" w:hanging="360"/>
      </w:pPr>
    </w:lvl>
    <w:lvl w:ilvl="4" w:tplc="628AC4F6">
      <w:start w:val="1"/>
      <w:numFmt w:val="lowerLetter"/>
      <w:lvlText w:val="%5."/>
      <w:lvlJc w:val="left"/>
      <w:pPr>
        <w:ind w:left="3600" w:hanging="360"/>
      </w:pPr>
    </w:lvl>
    <w:lvl w:ilvl="5" w:tplc="A8E4E47C">
      <w:start w:val="1"/>
      <w:numFmt w:val="lowerRoman"/>
      <w:lvlText w:val="%6."/>
      <w:lvlJc w:val="right"/>
      <w:pPr>
        <w:ind w:left="4320" w:hanging="180"/>
      </w:pPr>
    </w:lvl>
    <w:lvl w:ilvl="6" w:tplc="0C383CE4">
      <w:start w:val="1"/>
      <w:numFmt w:val="decimal"/>
      <w:lvlText w:val="%7."/>
      <w:lvlJc w:val="left"/>
      <w:pPr>
        <w:ind w:left="5040" w:hanging="360"/>
      </w:pPr>
    </w:lvl>
    <w:lvl w:ilvl="7" w:tplc="7292BA66">
      <w:start w:val="1"/>
      <w:numFmt w:val="lowerLetter"/>
      <w:lvlText w:val="%8."/>
      <w:lvlJc w:val="left"/>
      <w:pPr>
        <w:ind w:left="5760" w:hanging="360"/>
      </w:pPr>
    </w:lvl>
    <w:lvl w:ilvl="8" w:tplc="7EAAC8B0">
      <w:start w:val="1"/>
      <w:numFmt w:val="lowerRoman"/>
      <w:lvlText w:val="%9."/>
      <w:lvlJc w:val="right"/>
      <w:pPr>
        <w:ind w:left="6480" w:hanging="180"/>
      </w:pPr>
    </w:lvl>
  </w:abstractNum>
  <w:abstractNum w:abstractNumId="7" w15:restartNumberingAfterBreak="0">
    <w:nsid w:val="76D23A12"/>
    <w:multiLevelType w:val="hybridMultilevel"/>
    <w:tmpl w:val="30B4B0A6"/>
    <w:lvl w:ilvl="0" w:tplc="ED58F2CC">
      <w:numFmt w:val="bullet"/>
      <w:lvlText w:val="-"/>
      <w:lvlJc w:val="left"/>
      <w:pPr>
        <w:ind w:left="720" w:hanging="360"/>
      </w:pPr>
      <w:rPr>
        <w:rFonts w:hint="default" w:ascii="Calibri" w:hAnsi="Calibri"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AB"/>
    <w:rsid w:val="0000389D"/>
    <w:rsid w:val="00032D6B"/>
    <w:rsid w:val="00040F0F"/>
    <w:rsid w:val="00052812"/>
    <w:rsid w:val="00096CF6"/>
    <w:rsid w:val="000C7FA0"/>
    <w:rsid w:val="000E6AD0"/>
    <w:rsid w:val="000F6DFA"/>
    <w:rsid w:val="00137CD3"/>
    <w:rsid w:val="001C3CEE"/>
    <w:rsid w:val="00202782"/>
    <w:rsid w:val="0021206A"/>
    <w:rsid w:val="00243CAB"/>
    <w:rsid w:val="002515AC"/>
    <w:rsid w:val="0027173E"/>
    <w:rsid w:val="002A7307"/>
    <w:rsid w:val="002E0DAD"/>
    <w:rsid w:val="003750D4"/>
    <w:rsid w:val="00390837"/>
    <w:rsid w:val="003B6B45"/>
    <w:rsid w:val="0044599B"/>
    <w:rsid w:val="004609CE"/>
    <w:rsid w:val="00464ABE"/>
    <w:rsid w:val="004F4E7C"/>
    <w:rsid w:val="00562784"/>
    <w:rsid w:val="00596020"/>
    <w:rsid w:val="005A4CD8"/>
    <w:rsid w:val="006050FD"/>
    <w:rsid w:val="00670009"/>
    <w:rsid w:val="0067116A"/>
    <w:rsid w:val="00673EAD"/>
    <w:rsid w:val="00674DAF"/>
    <w:rsid w:val="0068677F"/>
    <w:rsid w:val="006A0F11"/>
    <w:rsid w:val="006A5943"/>
    <w:rsid w:val="006C4981"/>
    <w:rsid w:val="006E0D74"/>
    <w:rsid w:val="007316D9"/>
    <w:rsid w:val="00731D5D"/>
    <w:rsid w:val="00781D34"/>
    <w:rsid w:val="00782106"/>
    <w:rsid w:val="007B3126"/>
    <w:rsid w:val="00805E7C"/>
    <w:rsid w:val="00850ACF"/>
    <w:rsid w:val="00854A70"/>
    <w:rsid w:val="00855EB1"/>
    <w:rsid w:val="00863A15"/>
    <w:rsid w:val="008645E9"/>
    <w:rsid w:val="008903B8"/>
    <w:rsid w:val="008C1B8E"/>
    <w:rsid w:val="008C36FB"/>
    <w:rsid w:val="008C5846"/>
    <w:rsid w:val="008F5B1B"/>
    <w:rsid w:val="00902165"/>
    <w:rsid w:val="00933434"/>
    <w:rsid w:val="009710CC"/>
    <w:rsid w:val="00974190"/>
    <w:rsid w:val="009E3D2B"/>
    <w:rsid w:val="00A4769A"/>
    <w:rsid w:val="00A65B36"/>
    <w:rsid w:val="00A6643B"/>
    <w:rsid w:val="00A90929"/>
    <w:rsid w:val="00AB6BE1"/>
    <w:rsid w:val="00AF6858"/>
    <w:rsid w:val="00B46761"/>
    <w:rsid w:val="00B6335F"/>
    <w:rsid w:val="00C028CE"/>
    <w:rsid w:val="00C045EE"/>
    <w:rsid w:val="00C30451"/>
    <w:rsid w:val="00C47C6F"/>
    <w:rsid w:val="00C64879"/>
    <w:rsid w:val="00D864AC"/>
    <w:rsid w:val="00DB586E"/>
    <w:rsid w:val="00DF2483"/>
    <w:rsid w:val="00E369FC"/>
    <w:rsid w:val="00E84AD3"/>
    <w:rsid w:val="00E90BC0"/>
    <w:rsid w:val="00E973B2"/>
    <w:rsid w:val="00EA2002"/>
    <w:rsid w:val="00EB53A2"/>
    <w:rsid w:val="00F004DB"/>
    <w:rsid w:val="00F31AF9"/>
    <w:rsid w:val="00F5397E"/>
    <w:rsid w:val="00F67CD1"/>
    <w:rsid w:val="00F765E4"/>
    <w:rsid w:val="00FB6B6E"/>
    <w:rsid w:val="00FE5C34"/>
    <w:rsid w:val="03E560AF"/>
    <w:rsid w:val="047ECCA1"/>
    <w:rsid w:val="3E6941F1"/>
    <w:rsid w:val="54B23EE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F1CF1"/>
  <w15:docId w15:val="{22FDFF12-CA02-45FF-B300-46413BA686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028CE"/>
    <w:pPr>
      <w:ind w:left="720"/>
      <w:contextualSpacing/>
    </w:pPr>
  </w:style>
  <w:style w:type="table" w:styleId="TableGrid">
    <w:name w:val="Table Grid"/>
    <w:basedOn w:val="TableNormal"/>
    <w:uiPriority w:val="59"/>
    <w:rsid w:val="002A73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84AD3"/>
    <w:rPr>
      <w:sz w:val="16"/>
      <w:szCs w:val="16"/>
    </w:rPr>
  </w:style>
  <w:style w:type="paragraph" w:styleId="CommentText">
    <w:name w:val="annotation text"/>
    <w:basedOn w:val="Normal"/>
    <w:link w:val="CommentTextChar"/>
    <w:uiPriority w:val="99"/>
    <w:semiHidden/>
    <w:unhideWhenUsed/>
    <w:rsid w:val="00E84AD3"/>
    <w:pPr>
      <w:spacing w:line="240" w:lineRule="auto"/>
    </w:pPr>
    <w:rPr>
      <w:sz w:val="20"/>
      <w:szCs w:val="20"/>
    </w:rPr>
  </w:style>
  <w:style w:type="character" w:styleId="CommentTextChar" w:customStyle="1">
    <w:name w:val="Comment Text Char"/>
    <w:basedOn w:val="DefaultParagraphFont"/>
    <w:link w:val="CommentText"/>
    <w:uiPriority w:val="99"/>
    <w:semiHidden/>
    <w:rsid w:val="00E84AD3"/>
    <w:rPr>
      <w:sz w:val="20"/>
      <w:szCs w:val="20"/>
    </w:rPr>
  </w:style>
  <w:style w:type="paragraph" w:styleId="CommentSubject">
    <w:name w:val="annotation subject"/>
    <w:basedOn w:val="CommentText"/>
    <w:next w:val="CommentText"/>
    <w:link w:val="CommentSubjectChar"/>
    <w:uiPriority w:val="99"/>
    <w:semiHidden/>
    <w:unhideWhenUsed/>
    <w:rsid w:val="00E84AD3"/>
    <w:rPr>
      <w:b/>
      <w:bCs/>
    </w:rPr>
  </w:style>
  <w:style w:type="character" w:styleId="CommentSubjectChar" w:customStyle="1">
    <w:name w:val="Comment Subject Char"/>
    <w:basedOn w:val="CommentTextChar"/>
    <w:link w:val="CommentSubject"/>
    <w:uiPriority w:val="99"/>
    <w:semiHidden/>
    <w:rsid w:val="00E84AD3"/>
    <w:rPr>
      <w:b/>
      <w:bCs/>
      <w:sz w:val="20"/>
      <w:szCs w:val="20"/>
    </w:rPr>
  </w:style>
  <w:style w:type="paragraph" w:styleId="BalloonText">
    <w:name w:val="Balloon Text"/>
    <w:basedOn w:val="Normal"/>
    <w:link w:val="BalloonTextChar"/>
    <w:uiPriority w:val="99"/>
    <w:semiHidden/>
    <w:unhideWhenUsed/>
    <w:rsid w:val="00E84AD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84AD3"/>
    <w:rPr>
      <w:rFonts w:ascii="Tahoma" w:hAnsi="Tahoma" w:cs="Tahoma"/>
      <w:sz w:val="16"/>
      <w:szCs w:val="16"/>
    </w:rPr>
  </w:style>
  <w:style w:type="paragraph" w:styleId="Header">
    <w:name w:val="header"/>
    <w:basedOn w:val="Normal"/>
    <w:link w:val="HeaderChar"/>
    <w:uiPriority w:val="99"/>
    <w:unhideWhenUsed/>
    <w:rsid w:val="00464ABE"/>
    <w:pPr>
      <w:tabs>
        <w:tab w:val="center" w:pos="4819"/>
        <w:tab w:val="right" w:pos="9638"/>
      </w:tabs>
      <w:spacing w:after="0" w:line="240" w:lineRule="auto"/>
    </w:pPr>
  </w:style>
  <w:style w:type="character" w:styleId="HeaderChar" w:customStyle="1">
    <w:name w:val="Header Char"/>
    <w:basedOn w:val="DefaultParagraphFont"/>
    <w:link w:val="Header"/>
    <w:uiPriority w:val="99"/>
    <w:rsid w:val="00464ABE"/>
  </w:style>
  <w:style w:type="paragraph" w:styleId="Footer">
    <w:name w:val="footer"/>
    <w:basedOn w:val="Normal"/>
    <w:link w:val="FooterChar"/>
    <w:uiPriority w:val="99"/>
    <w:unhideWhenUsed/>
    <w:rsid w:val="00464ABE"/>
    <w:pPr>
      <w:tabs>
        <w:tab w:val="center" w:pos="4819"/>
        <w:tab w:val="right" w:pos="9638"/>
      </w:tabs>
      <w:spacing w:after="0" w:line="240" w:lineRule="auto"/>
    </w:pPr>
  </w:style>
  <w:style w:type="character" w:styleId="FooterChar" w:customStyle="1">
    <w:name w:val="Footer Char"/>
    <w:basedOn w:val="DefaultParagraphFont"/>
    <w:link w:val="Footer"/>
    <w:uiPriority w:val="99"/>
    <w:rsid w:val="0046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word/footer.xml" Id="R6cae4482af2c42fc"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CE3B76239BF4481CD9C9D3478AD55" ma:contentTypeVersion="4" ma:contentTypeDescription="Create a new document." ma:contentTypeScope="" ma:versionID="cf2b660759b608d5e9ef9c978cf7fbbb">
  <xsd:schema xmlns:xsd="http://www.w3.org/2001/XMLSchema" xmlns:xs="http://www.w3.org/2001/XMLSchema" xmlns:p="http://schemas.microsoft.com/office/2006/metadata/properties" xmlns:ns2="6c5c68e0-0915-4b92-9a31-afa3a4d61c1d" targetNamespace="http://schemas.microsoft.com/office/2006/metadata/properties" ma:root="true" ma:fieldsID="32d686a1d2ebb7d46d042050e5ed5694" ns2:_="">
    <xsd:import namespace="6c5c68e0-0915-4b92-9a31-afa3a4d61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c68e0-0915-4b92-9a31-afa3a4d61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5C02-1F92-4EF9-AE98-B6CEA7128681}">
  <ds:schemaRefs>
    <ds:schemaRef ds:uri="http://schemas.microsoft.com/sharepoint/v3/contenttype/forms"/>
  </ds:schemaRefs>
</ds:datastoreItem>
</file>

<file path=customXml/itemProps2.xml><?xml version="1.0" encoding="utf-8"?>
<ds:datastoreItem xmlns:ds="http://schemas.openxmlformats.org/officeDocument/2006/customXml" ds:itemID="{E4DFF936-C640-4026-A985-241BD195CF05}"/>
</file>

<file path=customXml/itemProps3.xml><?xml version="1.0" encoding="utf-8"?>
<ds:datastoreItem xmlns:ds="http://schemas.openxmlformats.org/officeDocument/2006/customXml" ds:itemID="{C4AE4109-5EF4-4F46-AFAE-0FBDD3201E65}">
  <ds:schemaRefs>
    <ds:schemaRef ds:uri="http://schemas.microsoft.com/office/2006/metadata/properties"/>
    <ds:schemaRef ds:uri="http://purl.org/dc/elements/1.1/"/>
    <ds:schemaRef ds:uri="6c5c68e0-0915-4b92-9a31-afa3a4d61c1d"/>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9EE2B2D-A068-481B-AFF4-E53568FA98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Syddansk Universitet - Samfundsvidenskab</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Ringsmose</dc:creator>
  <cp:lastModifiedBy>Bess Egede Rogers</cp:lastModifiedBy>
  <cp:revision>12</cp:revision>
  <dcterms:created xsi:type="dcterms:W3CDTF">2018-11-07T08:15:00Z</dcterms:created>
  <dcterms:modified xsi:type="dcterms:W3CDTF">2019-03-25T13:36:32Z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{BBB8BC04-9E59-40CF-BEB2-74F6075E756D}</vt:lpwstr>
  </property>
  <property fmtid="{D5CDD505-2E9C-101B-9397-08002B2CF9AE}" pid="3" name="ContentTypeId">
    <vt:lpwstr>0x010100878CE3B76239BF4481CD9C9D3478AD55</vt:lpwstr>
  </property>
  <property fmtid="{D5CDD505-2E9C-101B-9397-08002B2CF9AE}" pid="4" name="AuthorIds_UIVersion_512">
    <vt:lpwstr>9</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3072">
    <vt:lpwstr>9</vt:lpwstr>
  </property>
  <property fmtid="{D5CDD505-2E9C-101B-9397-08002B2CF9AE}" pid="10" name="AuthorIds_UIVersion_3584">
    <vt:lpwstr>9</vt:lpwstr>
  </property>
</Properties>
</file>