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F51C" w14:textId="426F1954" w:rsidR="00A27AC9" w:rsidRPr="00A27AC9" w:rsidRDefault="007A2CC9" w:rsidP="007A2CC9">
      <w:pPr>
        <w:pStyle w:val="Overskrift1"/>
        <w:rPr>
          <w:color w:val="000000" w:themeColor="text1"/>
          <w:lang w:val="en-US"/>
        </w:rPr>
      </w:pPr>
      <w:r>
        <w:rPr>
          <w:color w:val="000000" w:themeColor="text1"/>
          <w:highlight w:val="yellow"/>
          <w:lang w:val="en-US"/>
        </w:rPr>
        <w:t xml:space="preserve">29-03-2023: </w:t>
      </w:r>
      <w:r w:rsidR="00A27AC9" w:rsidRPr="00A27AC9">
        <w:rPr>
          <w:color w:val="000000" w:themeColor="text1"/>
          <w:highlight w:val="yellow"/>
          <w:lang w:val="en-US"/>
        </w:rPr>
        <w:t>Due to the economic situation at the department and SDU, the department’s</w:t>
      </w:r>
      <w:r w:rsidR="00FD5F5B">
        <w:rPr>
          <w:color w:val="000000" w:themeColor="text1"/>
          <w:highlight w:val="yellow"/>
          <w:lang w:val="en-US"/>
        </w:rPr>
        <w:t xml:space="preserve"> policy for</w:t>
      </w:r>
      <w:r w:rsidR="00A27AC9" w:rsidRPr="00A27AC9">
        <w:rPr>
          <w:color w:val="000000" w:themeColor="text1"/>
          <w:highlight w:val="yellow"/>
          <w:lang w:val="en-US"/>
        </w:rPr>
        <w:t xml:space="preserve"> development grants </w:t>
      </w:r>
      <w:r w:rsidR="00FD5F5B" w:rsidRPr="00A27AC9">
        <w:rPr>
          <w:color w:val="000000" w:themeColor="text1"/>
          <w:highlight w:val="yellow"/>
          <w:lang w:val="en-US"/>
        </w:rPr>
        <w:t>is</w:t>
      </w:r>
      <w:r>
        <w:rPr>
          <w:color w:val="000000" w:themeColor="text1"/>
          <w:highlight w:val="yellow"/>
          <w:lang w:val="en-US"/>
        </w:rPr>
        <w:t xml:space="preserve"> temporarily</w:t>
      </w:r>
      <w:r w:rsidR="00A27AC9" w:rsidRPr="00A27AC9">
        <w:rPr>
          <w:color w:val="000000" w:themeColor="text1"/>
          <w:highlight w:val="yellow"/>
          <w:lang w:val="en-US"/>
        </w:rPr>
        <w:t xml:space="preserve"> paused until further notice.</w:t>
      </w:r>
      <w:r w:rsidR="00FD5F5B">
        <w:rPr>
          <w:color w:val="000000" w:themeColor="text1"/>
          <w:lang w:val="en-US"/>
        </w:rPr>
        <w:br/>
      </w:r>
    </w:p>
    <w:p w14:paraId="196DC5AF" w14:textId="4814F453" w:rsidR="00134082" w:rsidRPr="00DF2483" w:rsidRDefault="00134082" w:rsidP="00134082">
      <w:pPr>
        <w:spacing w:after="0"/>
        <w:rPr>
          <w:sz w:val="32"/>
          <w:szCs w:val="32"/>
          <w:lang w:val="en-US"/>
        </w:rPr>
      </w:pPr>
      <w:r>
        <w:rPr>
          <w:sz w:val="32"/>
          <w:szCs w:val="32"/>
          <w:lang w:val="en-US"/>
        </w:rPr>
        <w:t>A Model of Departmental Development Grants</w:t>
      </w:r>
    </w:p>
    <w:p w14:paraId="23457F7A" w14:textId="77777777" w:rsidR="00134082" w:rsidRDefault="00134082" w:rsidP="00134082">
      <w:pPr>
        <w:spacing w:after="0"/>
        <w:rPr>
          <w:lang w:val="en-US"/>
        </w:rPr>
      </w:pPr>
    </w:p>
    <w:p w14:paraId="3C3827F0" w14:textId="77777777" w:rsidR="00134082" w:rsidRDefault="00134082" w:rsidP="00134082">
      <w:pPr>
        <w:spacing w:after="0"/>
        <w:rPr>
          <w:lang w:val="en-US"/>
        </w:rPr>
      </w:pPr>
      <w:r>
        <w:rPr>
          <w:lang w:val="en-US"/>
        </w:rPr>
        <w:t>This document provides an update of the department’s policy for offering research development grants. The mechanism was established in January 2016, and this update is informed by need to accommodate a wider variety of applications within a transparent decision-making process. The updated grant mechanism is based on the distinction between small grants (research seed money) and larger/longer standing grants (for strategic and/or infrastructural purposes).</w:t>
      </w:r>
    </w:p>
    <w:p w14:paraId="5160FA01" w14:textId="77777777" w:rsidR="00134082" w:rsidRDefault="00134082" w:rsidP="00134082">
      <w:pPr>
        <w:spacing w:after="0"/>
        <w:rPr>
          <w:lang w:val="en-US"/>
        </w:rPr>
      </w:pPr>
    </w:p>
    <w:p w14:paraId="1063CDB6" w14:textId="77777777" w:rsidR="00134082" w:rsidRPr="005949FC" w:rsidRDefault="00134082" w:rsidP="00134082">
      <w:pPr>
        <w:spacing w:after="0"/>
        <w:rPr>
          <w:i/>
          <w:lang w:val="en-US"/>
        </w:rPr>
      </w:pPr>
      <w:r w:rsidRPr="005949FC">
        <w:rPr>
          <w:i/>
          <w:lang w:val="en-US"/>
        </w:rPr>
        <w:t>Examples of the different grant types are:</w:t>
      </w:r>
    </w:p>
    <w:p w14:paraId="5FD76E52" w14:textId="77777777" w:rsidR="00134082" w:rsidRDefault="00134082" w:rsidP="00134082">
      <w:pPr>
        <w:pStyle w:val="Listeafsnit"/>
        <w:numPr>
          <w:ilvl w:val="0"/>
          <w:numId w:val="5"/>
        </w:numPr>
        <w:rPr>
          <w:lang w:val="en-US"/>
        </w:rPr>
      </w:pPr>
      <w:r>
        <w:rPr>
          <w:lang w:val="en-US"/>
        </w:rPr>
        <w:t>Small grants</w:t>
      </w:r>
      <w:r w:rsidRPr="00FB0DEF">
        <w:rPr>
          <w:lang w:val="en-US"/>
        </w:rPr>
        <w:t xml:space="preserve">: Authors’ workshop for anthology or special issue; data-collection, special research </w:t>
      </w:r>
      <w:r w:rsidRPr="005949FC">
        <w:rPr>
          <w:lang w:val="en-US"/>
        </w:rPr>
        <w:t>trips/stays (regular conference trips are not part of this grant mechanism)</w:t>
      </w:r>
    </w:p>
    <w:p w14:paraId="66B02A43" w14:textId="77777777" w:rsidR="00134082" w:rsidRPr="00A778CD" w:rsidRDefault="00134082" w:rsidP="00134082">
      <w:pPr>
        <w:pStyle w:val="Listeafsnit"/>
        <w:numPr>
          <w:ilvl w:val="0"/>
          <w:numId w:val="5"/>
        </w:numPr>
        <w:rPr>
          <w:lang w:val="en-US"/>
        </w:rPr>
      </w:pPr>
      <w:r>
        <w:rPr>
          <w:lang w:val="en-US"/>
        </w:rPr>
        <w:t>Larger</w:t>
      </w:r>
      <w:r w:rsidRPr="00FB0DEF">
        <w:rPr>
          <w:lang w:val="en-US"/>
        </w:rPr>
        <w:t xml:space="preserve"> grants: Chairmanship of </w:t>
      </w:r>
      <w:r>
        <w:rPr>
          <w:lang w:val="en-US"/>
        </w:rPr>
        <w:t xml:space="preserve">or conferences in </w:t>
      </w:r>
      <w:r w:rsidRPr="00FB0DEF">
        <w:rPr>
          <w:lang w:val="en-US"/>
        </w:rPr>
        <w:t>professional networks or associations, editorship of journals, special equipment and software, support of special teaching or student activity, human resource activity/benefits.</w:t>
      </w:r>
    </w:p>
    <w:p w14:paraId="0F522A74" w14:textId="77777777" w:rsidR="00134082" w:rsidRPr="004B4F8A" w:rsidRDefault="00134082" w:rsidP="00134082">
      <w:pPr>
        <w:spacing w:after="0"/>
        <w:rPr>
          <w:i/>
          <w:lang w:val="en-US"/>
        </w:rPr>
      </w:pPr>
      <w:r>
        <w:rPr>
          <w:i/>
          <w:lang w:val="en-US"/>
        </w:rPr>
        <w:t>The model for Departmental Development Grants is as follows</w:t>
      </w:r>
      <w:r w:rsidRPr="004B4F8A">
        <w:rPr>
          <w:i/>
          <w:lang w:val="en-US"/>
        </w:rPr>
        <w:t>:</w:t>
      </w:r>
    </w:p>
    <w:p w14:paraId="5E335D02" w14:textId="77777777" w:rsidR="00134082" w:rsidRDefault="00134082" w:rsidP="00134082">
      <w:pPr>
        <w:pStyle w:val="Listeafsnit"/>
        <w:numPr>
          <w:ilvl w:val="0"/>
          <w:numId w:val="5"/>
        </w:numPr>
        <w:rPr>
          <w:lang w:val="en-US"/>
        </w:rPr>
      </w:pPr>
      <w:r w:rsidRPr="0021230F">
        <w:rPr>
          <w:u w:val="single"/>
          <w:lang w:val="en-US"/>
        </w:rPr>
        <w:t>Smaller Grants</w:t>
      </w:r>
      <w:r>
        <w:rPr>
          <w:u w:val="single"/>
          <w:lang w:val="en-US"/>
        </w:rPr>
        <w:t xml:space="preserve"> (research seed money)</w:t>
      </w:r>
      <w:r w:rsidRPr="0021230F">
        <w:rPr>
          <w:u w:val="single"/>
          <w:lang w:val="en-US"/>
        </w:rPr>
        <w:t>:</w:t>
      </w:r>
      <w:r>
        <w:rPr>
          <w:lang w:val="en-US"/>
        </w:rPr>
        <w:t xml:space="preserve"> </w:t>
      </w:r>
    </w:p>
    <w:p w14:paraId="738410C2" w14:textId="77777777" w:rsidR="00134082" w:rsidRDefault="00134082" w:rsidP="00134082">
      <w:pPr>
        <w:pStyle w:val="Listeafsnit"/>
        <w:numPr>
          <w:ilvl w:val="1"/>
          <w:numId w:val="5"/>
        </w:numPr>
        <w:rPr>
          <w:lang w:val="en-US"/>
        </w:rPr>
      </w:pPr>
      <w:r>
        <w:rPr>
          <w:lang w:val="en-US"/>
        </w:rPr>
        <w:t xml:space="preserve">All staff members can </w:t>
      </w:r>
      <w:r w:rsidRPr="006050FD">
        <w:rPr>
          <w:lang w:val="en-US"/>
        </w:rPr>
        <w:t>apply</w:t>
      </w:r>
      <w:r>
        <w:rPr>
          <w:lang w:val="en-US"/>
        </w:rPr>
        <w:t xml:space="preserve"> for a grant of </w:t>
      </w:r>
      <w:r w:rsidRPr="002667CB">
        <w:rPr>
          <w:lang w:val="en-US"/>
        </w:rPr>
        <w:t xml:space="preserve">DKK </w:t>
      </w:r>
      <w:r>
        <w:rPr>
          <w:lang w:val="en-US"/>
        </w:rPr>
        <w:t>10,000-50,</w:t>
      </w:r>
      <w:r w:rsidRPr="002667CB">
        <w:rPr>
          <w:lang w:val="en-US"/>
        </w:rPr>
        <w:t>000</w:t>
      </w:r>
      <w:r>
        <w:rPr>
          <w:lang w:val="en-US"/>
        </w:rPr>
        <w:t xml:space="preserve"> to develop </w:t>
      </w:r>
      <w:r w:rsidRPr="00344E7D">
        <w:rPr>
          <w:b/>
          <w:lang w:val="en-US"/>
        </w:rPr>
        <w:t>new</w:t>
      </w:r>
      <w:r>
        <w:rPr>
          <w:lang w:val="en-US"/>
        </w:rPr>
        <w:t xml:space="preserve"> research activities or research activities which are of strategic importance to the department. The applicant must show how the supported activity have the potential of becoming something bigger than the immediate preposition</w:t>
      </w:r>
      <w:r w:rsidRPr="00E80CF2">
        <w:rPr>
          <w:lang w:val="en-US"/>
        </w:rPr>
        <w:t>.</w:t>
      </w:r>
      <w:r>
        <w:rPr>
          <w:lang w:val="en-US"/>
        </w:rPr>
        <w:t xml:space="preserve"> </w:t>
      </w:r>
    </w:p>
    <w:p w14:paraId="2C83C60F" w14:textId="77777777" w:rsidR="00134082" w:rsidRDefault="00134082" w:rsidP="00134082">
      <w:pPr>
        <w:pStyle w:val="Listeafsnit"/>
        <w:numPr>
          <w:ilvl w:val="1"/>
          <w:numId w:val="5"/>
        </w:numPr>
        <w:rPr>
          <w:lang w:val="en-US"/>
        </w:rPr>
      </w:pPr>
      <w:r>
        <w:rPr>
          <w:lang w:val="en-US"/>
        </w:rPr>
        <w:t>The total budget for this kind of financial support is DKK 150,000 every semester</w:t>
      </w:r>
    </w:p>
    <w:p w14:paraId="5651F05C" w14:textId="77777777" w:rsidR="00134082" w:rsidRDefault="00134082" w:rsidP="00134082">
      <w:pPr>
        <w:pStyle w:val="Listeafsnit"/>
        <w:numPr>
          <w:ilvl w:val="1"/>
          <w:numId w:val="5"/>
        </w:numPr>
        <w:rPr>
          <w:lang w:val="en-US"/>
        </w:rPr>
      </w:pPr>
      <w:r>
        <w:rPr>
          <w:lang w:val="en-US"/>
        </w:rPr>
        <w:t>Granting decisions are ultimately made by the Head of Department but decisions are qualified by a discussion in the management group based on a) the expected outcome/scaling potential, and b) the fit which section and department strategic goals</w:t>
      </w:r>
      <w:r w:rsidRPr="00AC5985">
        <w:rPr>
          <w:lang w:val="en-US"/>
        </w:rPr>
        <w:t>.</w:t>
      </w:r>
    </w:p>
    <w:p w14:paraId="207EDB21" w14:textId="77777777" w:rsidR="00134082" w:rsidRDefault="00134082" w:rsidP="00134082">
      <w:pPr>
        <w:pStyle w:val="Listeafsnit"/>
        <w:numPr>
          <w:ilvl w:val="0"/>
          <w:numId w:val="5"/>
        </w:numPr>
        <w:rPr>
          <w:lang w:val="en-US"/>
        </w:rPr>
      </w:pPr>
      <w:r w:rsidRPr="0021230F">
        <w:rPr>
          <w:u w:val="single"/>
          <w:lang w:val="en-US"/>
        </w:rPr>
        <w:t>Larger Grants</w:t>
      </w:r>
      <w:r>
        <w:rPr>
          <w:u w:val="single"/>
          <w:lang w:val="en-US"/>
        </w:rPr>
        <w:t xml:space="preserve"> </w:t>
      </w:r>
      <w:r>
        <w:rPr>
          <w:lang w:val="en-US"/>
        </w:rPr>
        <w:t>(for strategic and/or infrastructural purposes)</w:t>
      </w:r>
      <w:r w:rsidRPr="0021230F">
        <w:rPr>
          <w:u w:val="single"/>
          <w:lang w:val="en-US"/>
        </w:rPr>
        <w:t>:</w:t>
      </w:r>
      <w:r>
        <w:rPr>
          <w:lang w:val="en-US"/>
        </w:rPr>
        <w:t xml:space="preserve"> </w:t>
      </w:r>
    </w:p>
    <w:p w14:paraId="3DA9556F" w14:textId="77777777" w:rsidR="00134082" w:rsidRDefault="00134082" w:rsidP="00134082">
      <w:pPr>
        <w:pStyle w:val="Listeafsnit"/>
        <w:numPr>
          <w:ilvl w:val="1"/>
          <w:numId w:val="5"/>
        </w:numPr>
        <w:rPr>
          <w:lang w:val="en-US"/>
        </w:rPr>
      </w:pPr>
      <w:r>
        <w:rPr>
          <w:lang w:val="en-US"/>
        </w:rPr>
        <w:t xml:space="preserve">All staff members can </w:t>
      </w:r>
      <w:r w:rsidRPr="006050FD">
        <w:rPr>
          <w:lang w:val="en-US"/>
        </w:rPr>
        <w:t>apply</w:t>
      </w:r>
      <w:r>
        <w:rPr>
          <w:lang w:val="en-US"/>
        </w:rPr>
        <w:t xml:space="preserve"> for larger and longer standing grants to support research infrastructure and new activities in connection to research, teaching, administration, and knowledge exchange.</w:t>
      </w:r>
    </w:p>
    <w:p w14:paraId="243F5200" w14:textId="77777777" w:rsidR="00134082" w:rsidRDefault="00134082" w:rsidP="00134082">
      <w:pPr>
        <w:pStyle w:val="Listeafsnit"/>
        <w:numPr>
          <w:ilvl w:val="1"/>
          <w:numId w:val="5"/>
        </w:numPr>
        <w:rPr>
          <w:lang w:val="en-US"/>
        </w:rPr>
      </w:pPr>
      <w:r>
        <w:rPr>
          <w:lang w:val="en-US"/>
        </w:rPr>
        <w:t xml:space="preserve">There is </w:t>
      </w:r>
      <w:r w:rsidRPr="00AC5985">
        <w:rPr>
          <w:lang w:val="en-US"/>
        </w:rPr>
        <w:t>no fixed limit on the amount one can apply for</w:t>
      </w:r>
      <w:r>
        <w:rPr>
          <w:lang w:val="en-US"/>
        </w:rPr>
        <w:t>. However, there is also not a fi</w:t>
      </w:r>
      <w:r w:rsidRPr="00AC5985">
        <w:rPr>
          <w:lang w:val="en-US"/>
        </w:rPr>
        <w:t>xed pool of funds</w:t>
      </w:r>
      <w:r>
        <w:rPr>
          <w:lang w:val="en-US"/>
        </w:rPr>
        <w:t xml:space="preserve"> allocated to this purpose, and the funding mechanism should not be considered a “local research council”. </w:t>
      </w:r>
    </w:p>
    <w:p w14:paraId="2C399933" w14:textId="77777777" w:rsidR="00134082" w:rsidRDefault="00134082" w:rsidP="00134082">
      <w:pPr>
        <w:pStyle w:val="Listeafsnit"/>
        <w:numPr>
          <w:ilvl w:val="1"/>
          <w:numId w:val="5"/>
        </w:numPr>
        <w:rPr>
          <w:lang w:val="en-US"/>
        </w:rPr>
      </w:pPr>
      <w:r>
        <w:rPr>
          <w:lang w:val="en-US"/>
        </w:rPr>
        <w:t xml:space="preserve">Granting decisions are ultimately made by the Head of Department but decisions are qualified by a discussion in the management group based on a) the strategic fit, b) the expected outcome, and c) the </w:t>
      </w:r>
      <w:r w:rsidRPr="00AC5985">
        <w:rPr>
          <w:lang w:val="en-US"/>
        </w:rPr>
        <w:t>current budgetary situation.</w:t>
      </w:r>
    </w:p>
    <w:p w14:paraId="38B71324" w14:textId="77777777" w:rsidR="00134082" w:rsidRDefault="00134082" w:rsidP="00134082">
      <w:pPr>
        <w:pStyle w:val="Listeafsnit"/>
        <w:numPr>
          <w:ilvl w:val="0"/>
          <w:numId w:val="5"/>
        </w:numPr>
        <w:rPr>
          <w:lang w:val="en-US"/>
        </w:rPr>
      </w:pPr>
      <w:r>
        <w:rPr>
          <w:u w:val="single"/>
          <w:lang w:val="en-US"/>
        </w:rPr>
        <w:t>General application rules and procedures</w:t>
      </w:r>
      <w:r w:rsidRPr="009772B3">
        <w:rPr>
          <w:u w:val="single"/>
          <w:lang w:val="en-US"/>
        </w:rPr>
        <w:t>:</w:t>
      </w:r>
    </w:p>
    <w:p w14:paraId="62662F35" w14:textId="77777777" w:rsidR="00134082" w:rsidRDefault="00134082" w:rsidP="00134082">
      <w:pPr>
        <w:pStyle w:val="Listeafsnit"/>
        <w:numPr>
          <w:ilvl w:val="1"/>
          <w:numId w:val="5"/>
        </w:numPr>
        <w:rPr>
          <w:lang w:val="en-US"/>
        </w:rPr>
      </w:pPr>
      <w:r>
        <w:rPr>
          <w:lang w:val="en-US"/>
        </w:rPr>
        <w:t xml:space="preserve">Applications must </w:t>
      </w:r>
      <w:r w:rsidRPr="00D212F0">
        <w:rPr>
          <w:lang w:val="en-US"/>
        </w:rPr>
        <w:t>support existing strategi</w:t>
      </w:r>
      <w:r>
        <w:rPr>
          <w:lang w:val="en-US"/>
        </w:rPr>
        <w:t>c aims, actions of</w:t>
      </w:r>
      <w:r w:rsidRPr="00D212F0">
        <w:rPr>
          <w:lang w:val="en-US"/>
        </w:rPr>
        <w:t xml:space="preserve"> </w:t>
      </w:r>
      <w:r>
        <w:rPr>
          <w:lang w:val="en-US"/>
        </w:rPr>
        <w:t>research</w:t>
      </w:r>
      <w:r w:rsidRPr="00D212F0">
        <w:rPr>
          <w:lang w:val="en-US"/>
        </w:rPr>
        <w:t xml:space="preserve"> </w:t>
      </w:r>
      <w:r>
        <w:rPr>
          <w:lang w:val="en-US"/>
        </w:rPr>
        <w:t xml:space="preserve">sections or the </w:t>
      </w:r>
      <w:r w:rsidRPr="00D212F0">
        <w:rPr>
          <w:lang w:val="en-US"/>
        </w:rPr>
        <w:t>department</w:t>
      </w:r>
      <w:r>
        <w:rPr>
          <w:lang w:val="en-US"/>
        </w:rPr>
        <w:t>. The larger the grant application, the more important this strategic fit.</w:t>
      </w:r>
    </w:p>
    <w:p w14:paraId="052DEA03" w14:textId="77777777" w:rsidR="00134082" w:rsidRPr="00AC5985" w:rsidRDefault="00134082" w:rsidP="00134082">
      <w:pPr>
        <w:pStyle w:val="Listeafsnit"/>
        <w:numPr>
          <w:ilvl w:val="1"/>
          <w:numId w:val="5"/>
        </w:numPr>
        <w:rPr>
          <w:lang w:val="en-US"/>
        </w:rPr>
      </w:pPr>
      <w:r w:rsidRPr="00D212F0">
        <w:rPr>
          <w:lang w:val="en-US"/>
        </w:rPr>
        <w:lastRenderedPageBreak/>
        <w:t xml:space="preserve">All </w:t>
      </w:r>
      <w:r>
        <w:rPr>
          <w:lang w:val="en-US"/>
        </w:rPr>
        <w:t xml:space="preserve">grant </w:t>
      </w:r>
      <w:r w:rsidRPr="00D212F0">
        <w:rPr>
          <w:lang w:val="en-US"/>
        </w:rPr>
        <w:t xml:space="preserve">recipients </w:t>
      </w:r>
      <w:r w:rsidRPr="00D914C2">
        <w:rPr>
          <w:lang w:val="en-US"/>
        </w:rPr>
        <w:t>are asked to report on supported activit</w:t>
      </w:r>
      <w:r>
        <w:rPr>
          <w:lang w:val="en-US"/>
        </w:rPr>
        <w:t>ies</w:t>
      </w:r>
      <w:r w:rsidRPr="00D914C2">
        <w:rPr>
          <w:lang w:val="en-US"/>
        </w:rPr>
        <w:t xml:space="preserve"> </w:t>
      </w:r>
      <w:r>
        <w:rPr>
          <w:lang w:val="en-US"/>
        </w:rPr>
        <w:t>upon project expiration. All not-used funds will go back to the department when the project period expires.</w:t>
      </w:r>
    </w:p>
    <w:p w14:paraId="4D771BD4" w14:textId="77777777" w:rsidR="00134082" w:rsidRDefault="00134082" w:rsidP="00134082">
      <w:pPr>
        <w:pStyle w:val="Listeafsnit"/>
        <w:numPr>
          <w:ilvl w:val="1"/>
          <w:numId w:val="5"/>
        </w:numPr>
        <w:rPr>
          <w:lang w:val="en-US"/>
        </w:rPr>
      </w:pPr>
      <w:r w:rsidRPr="00FB0DEF">
        <w:rPr>
          <w:lang w:val="en-US"/>
        </w:rPr>
        <w:t>Applications can be submitted twice a year (March 1 and October 1). In extraordinary situations</w:t>
      </w:r>
      <w:r>
        <w:rPr>
          <w:lang w:val="en-US"/>
        </w:rPr>
        <w:t xml:space="preserve"> where it has been</w:t>
      </w:r>
      <w:r w:rsidRPr="00FB0DEF">
        <w:rPr>
          <w:lang w:val="en-US"/>
        </w:rPr>
        <w:t xml:space="preserve"> impossible to meet these deadlines, the management group can decide to consider an application submitted between deadlines.</w:t>
      </w:r>
    </w:p>
    <w:p w14:paraId="6D736A55" w14:textId="77777777" w:rsidR="00134082" w:rsidRPr="00FB0DEF" w:rsidRDefault="00134082" w:rsidP="00134082">
      <w:pPr>
        <w:pStyle w:val="Listeafsnit"/>
        <w:numPr>
          <w:ilvl w:val="1"/>
          <w:numId w:val="5"/>
        </w:numPr>
        <w:rPr>
          <w:lang w:val="en-US"/>
        </w:rPr>
      </w:pPr>
      <w:r>
        <w:rPr>
          <w:lang w:val="en-US"/>
        </w:rPr>
        <w:t>A</w:t>
      </w:r>
      <w:r w:rsidRPr="00FB0DEF">
        <w:rPr>
          <w:lang w:val="en-US"/>
        </w:rPr>
        <w:t>pplications should be submitted to the Head of Department using the predefined template.</w:t>
      </w:r>
    </w:p>
    <w:p w14:paraId="7FC3224E" w14:textId="77777777" w:rsidR="00134082" w:rsidRPr="00DF2483" w:rsidRDefault="00134082" w:rsidP="00134082">
      <w:pPr>
        <w:spacing w:after="0"/>
        <w:rPr>
          <w:sz w:val="32"/>
          <w:szCs w:val="32"/>
          <w:lang w:val="en-US"/>
        </w:rPr>
      </w:pPr>
      <w:r w:rsidRPr="00902B28">
        <w:rPr>
          <w:b/>
          <w:sz w:val="32"/>
          <w:lang w:val="en-US"/>
        </w:rPr>
        <w:t>Template:</w:t>
      </w:r>
      <w:r w:rsidRPr="00902B28">
        <w:rPr>
          <w:sz w:val="32"/>
          <w:lang w:val="en-US"/>
        </w:rPr>
        <w:t xml:space="preserve"> </w:t>
      </w:r>
      <w:r>
        <w:rPr>
          <w:sz w:val="32"/>
          <w:lang w:val="en-US"/>
        </w:rPr>
        <w:t xml:space="preserve"> </w:t>
      </w:r>
      <w:r>
        <w:rPr>
          <w:sz w:val="32"/>
          <w:szCs w:val="32"/>
          <w:lang w:val="en-US"/>
        </w:rPr>
        <w:t>Applying for Departmental Development Funds</w:t>
      </w:r>
    </w:p>
    <w:p w14:paraId="7C080C09" w14:textId="77777777" w:rsidR="00134082" w:rsidRPr="00902B28" w:rsidRDefault="00134082" w:rsidP="00134082">
      <w:pPr>
        <w:rPr>
          <w:sz w:val="32"/>
          <w:lang w:val="en-US"/>
        </w:rPr>
      </w:pPr>
    </w:p>
    <w:tbl>
      <w:tblPr>
        <w:tblStyle w:val="Tabel-Gitter"/>
        <w:tblW w:w="0" w:type="auto"/>
        <w:tblLook w:val="04A0" w:firstRow="1" w:lastRow="0" w:firstColumn="1" w:lastColumn="0" w:noHBand="0" w:noVBand="1"/>
      </w:tblPr>
      <w:tblGrid>
        <w:gridCol w:w="2075"/>
        <w:gridCol w:w="7553"/>
      </w:tblGrid>
      <w:tr w:rsidR="00134082" w:rsidRPr="003E5F16" w14:paraId="628ECE1C" w14:textId="77777777" w:rsidTr="00B51F88">
        <w:tc>
          <w:tcPr>
            <w:tcW w:w="2093" w:type="dxa"/>
          </w:tcPr>
          <w:p w14:paraId="5BC29F4B" w14:textId="77777777" w:rsidR="00134082" w:rsidRPr="00243884" w:rsidRDefault="00134082" w:rsidP="00B51F88">
            <w:pPr>
              <w:rPr>
                <w:b/>
                <w:lang w:val="en-US"/>
              </w:rPr>
            </w:pPr>
            <w:r>
              <w:rPr>
                <w:b/>
                <w:lang w:val="en-US"/>
              </w:rPr>
              <w:t>Project ti</w:t>
            </w:r>
            <w:r w:rsidRPr="00243884">
              <w:rPr>
                <w:b/>
                <w:lang w:val="en-US"/>
              </w:rPr>
              <w:t>tle</w:t>
            </w:r>
            <w:r>
              <w:rPr>
                <w:b/>
                <w:lang w:val="en-US"/>
              </w:rPr>
              <w:t xml:space="preserve"> </w:t>
            </w:r>
            <w:r>
              <w:rPr>
                <w:b/>
                <w:lang w:val="en-US"/>
              </w:rPr>
              <w:br/>
            </w:r>
          </w:p>
        </w:tc>
        <w:tc>
          <w:tcPr>
            <w:tcW w:w="7761" w:type="dxa"/>
          </w:tcPr>
          <w:p w14:paraId="5465DAFC" w14:textId="77777777" w:rsidR="00134082" w:rsidRDefault="00134082" w:rsidP="00B51F88">
            <w:pPr>
              <w:rPr>
                <w:lang w:val="en-US"/>
              </w:rPr>
            </w:pPr>
          </w:p>
        </w:tc>
      </w:tr>
      <w:tr w:rsidR="00134082" w:rsidRPr="00344E7D" w14:paraId="2F844D17" w14:textId="77777777" w:rsidTr="00B51F88">
        <w:tc>
          <w:tcPr>
            <w:tcW w:w="2093" w:type="dxa"/>
          </w:tcPr>
          <w:p w14:paraId="1B85FCD6" w14:textId="77777777" w:rsidR="00134082" w:rsidRPr="00E864FA" w:rsidRDefault="00134082" w:rsidP="00B51F88">
            <w:pPr>
              <w:rPr>
                <w:b/>
                <w:lang w:val="en-US"/>
              </w:rPr>
            </w:pPr>
            <w:r>
              <w:rPr>
                <w:b/>
                <w:lang w:val="en-US"/>
              </w:rPr>
              <w:t>Project d</w:t>
            </w:r>
            <w:r w:rsidRPr="00E864FA">
              <w:rPr>
                <w:b/>
                <w:lang w:val="en-US"/>
              </w:rPr>
              <w:t>escription</w:t>
            </w:r>
            <w:r>
              <w:rPr>
                <w:b/>
                <w:lang w:val="en-US"/>
              </w:rPr>
              <w:t xml:space="preserve"> (max. 50</w:t>
            </w:r>
            <w:r w:rsidRPr="00E864FA">
              <w:rPr>
                <w:b/>
                <w:lang w:val="en-US"/>
              </w:rPr>
              <w:t>0 words)</w:t>
            </w:r>
            <w:r w:rsidRPr="00E864FA">
              <w:rPr>
                <w:b/>
                <w:lang w:val="en-US"/>
              </w:rPr>
              <w:br/>
            </w:r>
          </w:p>
        </w:tc>
        <w:tc>
          <w:tcPr>
            <w:tcW w:w="7761" w:type="dxa"/>
          </w:tcPr>
          <w:p w14:paraId="7E417076" w14:textId="77777777" w:rsidR="00134082" w:rsidRDefault="00134082" w:rsidP="00B51F88">
            <w:pPr>
              <w:rPr>
                <w:lang w:val="en-US"/>
              </w:rPr>
            </w:pPr>
          </w:p>
        </w:tc>
      </w:tr>
      <w:tr w:rsidR="00134082" w:rsidRPr="00A27AC9" w14:paraId="15689D81" w14:textId="77777777" w:rsidTr="00B51F88">
        <w:tc>
          <w:tcPr>
            <w:tcW w:w="2093" w:type="dxa"/>
          </w:tcPr>
          <w:p w14:paraId="018E2654" w14:textId="77777777" w:rsidR="00134082" w:rsidRDefault="00134082" w:rsidP="00B51F88">
            <w:pPr>
              <w:rPr>
                <w:b/>
                <w:lang w:val="en-US"/>
              </w:rPr>
            </w:pPr>
            <w:r>
              <w:rPr>
                <w:b/>
                <w:lang w:val="en-US"/>
              </w:rPr>
              <w:t>Relation to the department strategy (max 150 words)</w:t>
            </w:r>
          </w:p>
          <w:p w14:paraId="4561161E" w14:textId="77777777" w:rsidR="00134082" w:rsidRDefault="00134082" w:rsidP="00B51F88">
            <w:pPr>
              <w:rPr>
                <w:b/>
                <w:lang w:val="en-US"/>
              </w:rPr>
            </w:pPr>
          </w:p>
        </w:tc>
        <w:tc>
          <w:tcPr>
            <w:tcW w:w="7761" w:type="dxa"/>
          </w:tcPr>
          <w:p w14:paraId="389A602E" w14:textId="77777777" w:rsidR="00134082" w:rsidRDefault="00134082" w:rsidP="00B51F88">
            <w:pPr>
              <w:rPr>
                <w:lang w:val="en-US"/>
              </w:rPr>
            </w:pPr>
          </w:p>
        </w:tc>
      </w:tr>
      <w:tr w:rsidR="00134082" w:rsidRPr="00DA2B4D" w14:paraId="25DCB3A6" w14:textId="77777777" w:rsidTr="00B51F88">
        <w:tc>
          <w:tcPr>
            <w:tcW w:w="2093" w:type="dxa"/>
          </w:tcPr>
          <w:p w14:paraId="696F1AB4" w14:textId="77777777" w:rsidR="00134082" w:rsidRDefault="00134082" w:rsidP="00B51F88">
            <w:pPr>
              <w:rPr>
                <w:b/>
                <w:lang w:val="en-US"/>
              </w:rPr>
            </w:pPr>
            <w:r>
              <w:rPr>
                <w:b/>
                <w:lang w:val="en-US"/>
              </w:rPr>
              <w:t>Expected outcome (max. 150 words)</w:t>
            </w:r>
          </w:p>
          <w:p w14:paraId="6660581C" w14:textId="77777777" w:rsidR="00134082" w:rsidRPr="00243884" w:rsidRDefault="00134082" w:rsidP="00B51F88">
            <w:pPr>
              <w:rPr>
                <w:b/>
                <w:lang w:val="en-US"/>
              </w:rPr>
            </w:pPr>
          </w:p>
        </w:tc>
        <w:tc>
          <w:tcPr>
            <w:tcW w:w="7761" w:type="dxa"/>
          </w:tcPr>
          <w:p w14:paraId="19211985" w14:textId="77777777" w:rsidR="00134082" w:rsidRDefault="00134082" w:rsidP="00B51F88">
            <w:pPr>
              <w:rPr>
                <w:lang w:val="en-US"/>
              </w:rPr>
            </w:pPr>
          </w:p>
        </w:tc>
      </w:tr>
      <w:tr w:rsidR="00134082" w:rsidRPr="00A27AC9" w14:paraId="078DE1EF" w14:textId="77777777" w:rsidTr="00B51F88">
        <w:tc>
          <w:tcPr>
            <w:tcW w:w="2093" w:type="dxa"/>
          </w:tcPr>
          <w:p w14:paraId="1EE4A0DA" w14:textId="77777777" w:rsidR="00134082" w:rsidRDefault="00134082" w:rsidP="00B51F88">
            <w:pPr>
              <w:rPr>
                <w:b/>
                <w:lang w:val="en-US"/>
              </w:rPr>
            </w:pPr>
            <w:r>
              <w:rPr>
                <w:b/>
                <w:lang w:val="en-US"/>
              </w:rPr>
              <w:t>Expected scaling potential (max. 150 words)</w:t>
            </w:r>
          </w:p>
          <w:p w14:paraId="43FB91DA" w14:textId="77777777" w:rsidR="00134082" w:rsidRDefault="00134082" w:rsidP="00B51F88">
            <w:pPr>
              <w:rPr>
                <w:b/>
                <w:lang w:val="en-US"/>
              </w:rPr>
            </w:pPr>
          </w:p>
        </w:tc>
        <w:tc>
          <w:tcPr>
            <w:tcW w:w="7761" w:type="dxa"/>
          </w:tcPr>
          <w:p w14:paraId="25173D0D" w14:textId="77777777" w:rsidR="00134082" w:rsidRDefault="00134082" w:rsidP="00B51F88">
            <w:pPr>
              <w:rPr>
                <w:lang w:val="en-US"/>
              </w:rPr>
            </w:pPr>
          </w:p>
        </w:tc>
      </w:tr>
      <w:tr w:rsidR="00134082" w:rsidRPr="00DA2B4D" w14:paraId="2961724A" w14:textId="77777777" w:rsidTr="00B51F88">
        <w:tc>
          <w:tcPr>
            <w:tcW w:w="2093" w:type="dxa"/>
          </w:tcPr>
          <w:p w14:paraId="692148DE" w14:textId="77777777" w:rsidR="00134082" w:rsidRPr="00243884" w:rsidRDefault="00134082" w:rsidP="00B51F88">
            <w:pPr>
              <w:rPr>
                <w:b/>
                <w:lang w:val="en-US"/>
              </w:rPr>
            </w:pPr>
            <w:r>
              <w:rPr>
                <w:b/>
                <w:lang w:val="en-US"/>
              </w:rPr>
              <w:t>Budget</w:t>
            </w:r>
            <w:r>
              <w:rPr>
                <w:b/>
                <w:lang w:val="en-US"/>
              </w:rPr>
              <w:br/>
            </w:r>
          </w:p>
        </w:tc>
        <w:tc>
          <w:tcPr>
            <w:tcW w:w="7761" w:type="dxa"/>
          </w:tcPr>
          <w:p w14:paraId="3CF54B95" w14:textId="77777777" w:rsidR="00134082" w:rsidRDefault="00134082" w:rsidP="00B51F88">
            <w:pPr>
              <w:rPr>
                <w:lang w:val="en-US"/>
              </w:rPr>
            </w:pPr>
          </w:p>
        </w:tc>
      </w:tr>
      <w:tr w:rsidR="00134082" w:rsidRPr="00A27AC9" w14:paraId="558364D3" w14:textId="77777777" w:rsidTr="00B51F88">
        <w:tc>
          <w:tcPr>
            <w:tcW w:w="2093" w:type="dxa"/>
          </w:tcPr>
          <w:p w14:paraId="1A6A4E96" w14:textId="77777777" w:rsidR="00134082" w:rsidRDefault="00134082" w:rsidP="00B51F88">
            <w:pPr>
              <w:rPr>
                <w:b/>
                <w:lang w:val="en-US"/>
              </w:rPr>
            </w:pPr>
            <w:r>
              <w:rPr>
                <w:b/>
                <w:lang w:val="en-US"/>
              </w:rPr>
              <w:t>Time schedule</w:t>
            </w:r>
          </w:p>
          <w:p w14:paraId="7B5591D4" w14:textId="77777777" w:rsidR="00134082" w:rsidRDefault="00134082" w:rsidP="00B51F88">
            <w:pPr>
              <w:rPr>
                <w:b/>
                <w:lang w:val="en-US"/>
              </w:rPr>
            </w:pPr>
            <w:r>
              <w:rPr>
                <w:b/>
                <w:lang w:val="en-US"/>
              </w:rPr>
              <w:t>(incl. start and end date)</w:t>
            </w:r>
          </w:p>
          <w:p w14:paraId="1CC85AD8" w14:textId="77777777" w:rsidR="00134082" w:rsidRDefault="00134082" w:rsidP="00B51F88">
            <w:pPr>
              <w:rPr>
                <w:b/>
                <w:lang w:val="en-US"/>
              </w:rPr>
            </w:pPr>
          </w:p>
        </w:tc>
        <w:tc>
          <w:tcPr>
            <w:tcW w:w="7761" w:type="dxa"/>
          </w:tcPr>
          <w:p w14:paraId="4D51C871" w14:textId="77777777" w:rsidR="00134082" w:rsidRDefault="00134082" w:rsidP="00B51F88">
            <w:pPr>
              <w:rPr>
                <w:lang w:val="en-US"/>
              </w:rPr>
            </w:pPr>
          </w:p>
        </w:tc>
      </w:tr>
      <w:tr w:rsidR="00134082" w:rsidRPr="00A27AC9" w14:paraId="5ADE1F68" w14:textId="77777777" w:rsidTr="00B51F88">
        <w:tc>
          <w:tcPr>
            <w:tcW w:w="2093" w:type="dxa"/>
          </w:tcPr>
          <w:p w14:paraId="2CBFE153" w14:textId="77777777" w:rsidR="00134082" w:rsidRDefault="00134082" w:rsidP="00B51F88">
            <w:pPr>
              <w:rPr>
                <w:b/>
                <w:lang w:val="en-US"/>
              </w:rPr>
            </w:pPr>
            <w:r>
              <w:rPr>
                <w:b/>
                <w:lang w:val="en-US"/>
              </w:rPr>
              <w:t>Time of reporting (month/year)</w:t>
            </w:r>
            <w:r>
              <w:rPr>
                <w:b/>
                <w:lang w:val="en-US"/>
              </w:rPr>
              <w:br/>
            </w:r>
          </w:p>
        </w:tc>
        <w:tc>
          <w:tcPr>
            <w:tcW w:w="7761" w:type="dxa"/>
          </w:tcPr>
          <w:p w14:paraId="5833EB7E" w14:textId="77777777" w:rsidR="00134082" w:rsidRDefault="00134082" w:rsidP="00B51F88">
            <w:pPr>
              <w:rPr>
                <w:lang w:val="en-US"/>
              </w:rPr>
            </w:pPr>
          </w:p>
        </w:tc>
      </w:tr>
    </w:tbl>
    <w:p w14:paraId="1667C26F" w14:textId="77777777" w:rsidR="00134082" w:rsidRPr="000946B9" w:rsidRDefault="00134082" w:rsidP="00134082">
      <w:pPr>
        <w:pStyle w:val="Listeafsnit"/>
        <w:rPr>
          <w:lang w:val="en-US"/>
        </w:rPr>
      </w:pPr>
    </w:p>
    <w:p w14:paraId="259AD426" w14:textId="77777777" w:rsidR="00134082" w:rsidRPr="000946B9" w:rsidRDefault="00134082" w:rsidP="00134082">
      <w:pPr>
        <w:rPr>
          <w:lang w:val="en-US"/>
        </w:rPr>
      </w:pPr>
    </w:p>
    <w:p w14:paraId="501C6947" w14:textId="52A6A86E" w:rsidR="1ECE106F" w:rsidRPr="00134082" w:rsidRDefault="1ECE106F">
      <w:pPr>
        <w:rPr>
          <w:lang w:val="en-US"/>
        </w:rPr>
      </w:pPr>
    </w:p>
    <w:sectPr w:rsidR="1ECE106F" w:rsidRPr="00134082" w:rsidSect="003E5F1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3DB4"/>
    <w:multiLevelType w:val="hybridMultilevel"/>
    <w:tmpl w:val="D5AA7BAC"/>
    <w:lvl w:ilvl="0" w:tplc="1EECAE0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4162B8"/>
    <w:multiLevelType w:val="hybridMultilevel"/>
    <w:tmpl w:val="CBAAE968"/>
    <w:lvl w:ilvl="0" w:tplc="8CFE99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1842B6"/>
    <w:multiLevelType w:val="hybridMultilevel"/>
    <w:tmpl w:val="4EB634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2F11A3"/>
    <w:multiLevelType w:val="hybridMultilevel"/>
    <w:tmpl w:val="D0C84792"/>
    <w:lvl w:ilvl="0" w:tplc="C7C8D9D2">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D33CA"/>
    <w:multiLevelType w:val="hybridMultilevel"/>
    <w:tmpl w:val="44A4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3242D"/>
    <w:multiLevelType w:val="hybridMultilevel"/>
    <w:tmpl w:val="FBD47EFC"/>
    <w:lvl w:ilvl="0" w:tplc="98E89BD6">
      <w:start w:val="2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F5D2DCE"/>
    <w:multiLevelType w:val="hybridMultilevel"/>
    <w:tmpl w:val="08FE3682"/>
    <w:lvl w:ilvl="0" w:tplc="5C7A379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F06B59"/>
    <w:multiLevelType w:val="hybridMultilevel"/>
    <w:tmpl w:val="833275D6"/>
    <w:lvl w:ilvl="0" w:tplc="2C12F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3A12"/>
    <w:multiLevelType w:val="hybridMultilevel"/>
    <w:tmpl w:val="30B4B0A6"/>
    <w:lvl w:ilvl="0" w:tplc="ED58F2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66881595">
    <w:abstractNumId w:val="8"/>
  </w:num>
  <w:num w:numId="2" w16cid:durableId="1831404541">
    <w:abstractNumId w:val="1"/>
  </w:num>
  <w:num w:numId="3" w16cid:durableId="1262835257">
    <w:abstractNumId w:val="2"/>
  </w:num>
  <w:num w:numId="4" w16cid:durableId="671878839">
    <w:abstractNumId w:val="7"/>
  </w:num>
  <w:num w:numId="5" w16cid:durableId="1128619946">
    <w:abstractNumId w:val="3"/>
  </w:num>
  <w:num w:numId="6" w16cid:durableId="814445745">
    <w:abstractNumId w:val="4"/>
  </w:num>
  <w:num w:numId="7" w16cid:durableId="1182428159">
    <w:abstractNumId w:val="5"/>
  </w:num>
  <w:num w:numId="8" w16cid:durableId="354036993">
    <w:abstractNumId w:val="6"/>
  </w:num>
  <w:num w:numId="9" w16cid:durableId="3716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E477D07-01CF-4698-822A-1B258E4F89CA}"/>
  </w:docVars>
  <w:rsids>
    <w:rsidRoot w:val="00243CAB"/>
    <w:rsid w:val="0000389D"/>
    <w:rsid w:val="00032D6B"/>
    <w:rsid w:val="000474B6"/>
    <w:rsid w:val="00052812"/>
    <w:rsid w:val="00071DD3"/>
    <w:rsid w:val="000946B9"/>
    <w:rsid w:val="00096CF6"/>
    <w:rsid w:val="000A6879"/>
    <w:rsid w:val="000C7FA0"/>
    <w:rsid w:val="000E6AD0"/>
    <w:rsid w:val="000F6DFA"/>
    <w:rsid w:val="000F729A"/>
    <w:rsid w:val="00134082"/>
    <w:rsid w:val="00163831"/>
    <w:rsid w:val="00170FEB"/>
    <w:rsid w:val="001C34C0"/>
    <w:rsid w:val="00202782"/>
    <w:rsid w:val="0021206A"/>
    <w:rsid w:val="0021230F"/>
    <w:rsid w:val="002416A3"/>
    <w:rsid w:val="00243884"/>
    <w:rsid w:val="00243CAB"/>
    <w:rsid w:val="002667CB"/>
    <w:rsid w:val="0027173E"/>
    <w:rsid w:val="002777A8"/>
    <w:rsid w:val="00281F75"/>
    <w:rsid w:val="002A05F8"/>
    <w:rsid w:val="002A7307"/>
    <w:rsid w:val="002B6B3B"/>
    <w:rsid w:val="002E0DAD"/>
    <w:rsid w:val="002E4C68"/>
    <w:rsid w:val="003047AB"/>
    <w:rsid w:val="00344E7D"/>
    <w:rsid w:val="00353AC2"/>
    <w:rsid w:val="00380F9B"/>
    <w:rsid w:val="00390837"/>
    <w:rsid w:val="003A5C51"/>
    <w:rsid w:val="003B6B45"/>
    <w:rsid w:val="003E5F16"/>
    <w:rsid w:val="003E60C4"/>
    <w:rsid w:val="003F7062"/>
    <w:rsid w:val="00406DB4"/>
    <w:rsid w:val="0044599B"/>
    <w:rsid w:val="004609CE"/>
    <w:rsid w:val="00485A2F"/>
    <w:rsid w:val="004B4F8A"/>
    <w:rsid w:val="004F4E7C"/>
    <w:rsid w:val="00537174"/>
    <w:rsid w:val="00544074"/>
    <w:rsid w:val="005541E9"/>
    <w:rsid w:val="00562784"/>
    <w:rsid w:val="005949FC"/>
    <w:rsid w:val="00596020"/>
    <w:rsid w:val="005966CE"/>
    <w:rsid w:val="005A4CD8"/>
    <w:rsid w:val="005D7272"/>
    <w:rsid w:val="006050FD"/>
    <w:rsid w:val="00635648"/>
    <w:rsid w:val="006532DC"/>
    <w:rsid w:val="00670009"/>
    <w:rsid w:val="00673EAD"/>
    <w:rsid w:val="00674DAF"/>
    <w:rsid w:val="00685881"/>
    <w:rsid w:val="00686A2F"/>
    <w:rsid w:val="006A0F11"/>
    <w:rsid w:val="006A5943"/>
    <w:rsid w:val="006C4981"/>
    <w:rsid w:val="006E0D74"/>
    <w:rsid w:val="006E2E86"/>
    <w:rsid w:val="00731D5D"/>
    <w:rsid w:val="00782106"/>
    <w:rsid w:val="00794B7C"/>
    <w:rsid w:val="007A2CC9"/>
    <w:rsid w:val="007B3126"/>
    <w:rsid w:val="00805E7C"/>
    <w:rsid w:val="00846550"/>
    <w:rsid w:val="00850ACF"/>
    <w:rsid w:val="00854A70"/>
    <w:rsid w:val="00855EB1"/>
    <w:rsid w:val="00863A15"/>
    <w:rsid w:val="008645E9"/>
    <w:rsid w:val="008903B8"/>
    <w:rsid w:val="008B0D54"/>
    <w:rsid w:val="008C1B8E"/>
    <w:rsid w:val="008C36FB"/>
    <w:rsid w:val="008C5846"/>
    <w:rsid w:val="00902165"/>
    <w:rsid w:val="00902B28"/>
    <w:rsid w:val="00927E72"/>
    <w:rsid w:val="00933434"/>
    <w:rsid w:val="009710CC"/>
    <w:rsid w:val="00974190"/>
    <w:rsid w:val="009772B3"/>
    <w:rsid w:val="009E3D2B"/>
    <w:rsid w:val="009F02DA"/>
    <w:rsid w:val="00A12665"/>
    <w:rsid w:val="00A1331E"/>
    <w:rsid w:val="00A27AC9"/>
    <w:rsid w:val="00A4769A"/>
    <w:rsid w:val="00A65B36"/>
    <w:rsid w:val="00A778CD"/>
    <w:rsid w:val="00A8044D"/>
    <w:rsid w:val="00A90929"/>
    <w:rsid w:val="00AC5985"/>
    <w:rsid w:val="00AD5778"/>
    <w:rsid w:val="00AE21BC"/>
    <w:rsid w:val="00AF6858"/>
    <w:rsid w:val="00B11C0D"/>
    <w:rsid w:val="00B46761"/>
    <w:rsid w:val="00B53286"/>
    <w:rsid w:val="00B53CF0"/>
    <w:rsid w:val="00B57474"/>
    <w:rsid w:val="00BC491C"/>
    <w:rsid w:val="00BD7B42"/>
    <w:rsid w:val="00C028CE"/>
    <w:rsid w:val="00C47C6F"/>
    <w:rsid w:val="00C569D7"/>
    <w:rsid w:val="00C64879"/>
    <w:rsid w:val="00D15165"/>
    <w:rsid w:val="00D212F0"/>
    <w:rsid w:val="00D519CE"/>
    <w:rsid w:val="00D864AC"/>
    <w:rsid w:val="00D914C2"/>
    <w:rsid w:val="00DA2B4D"/>
    <w:rsid w:val="00DC5DA5"/>
    <w:rsid w:val="00DC67C6"/>
    <w:rsid w:val="00DC681F"/>
    <w:rsid w:val="00DF2483"/>
    <w:rsid w:val="00E80CF2"/>
    <w:rsid w:val="00E85B44"/>
    <w:rsid w:val="00E864FA"/>
    <w:rsid w:val="00E90BC0"/>
    <w:rsid w:val="00EA2002"/>
    <w:rsid w:val="00EB23F9"/>
    <w:rsid w:val="00F004DB"/>
    <w:rsid w:val="00F5397E"/>
    <w:rsid w:val="00F67CD1"/>
    <w:rsid w:val="00F765E4"/>
    <w:rsid w:val="00FB0DEF"/>
    <w:rsid w:val="00FB21A6"/>
    <w:rsid w:val="00FD5F5B"/>
    <w:rsid w:val="00FE5C34"/>
    <w:rsid w:val="00FF0675"/>
    <w:rsid w:val="023C1F6D"/>
    <w:rsid w:val="1ECE106F"/>
    <w:rsid w:val="20B70A38"/>
    <w:rsid w:val="38F38B2A"/>
    <w:rsid w:val="757223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1CF1"/>
  <w15:docId w15:val="{F8341487-0DAF-4214-8324-A1B1705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7A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28CE"/>
    <w:pPr>
      <w:ind w:left="720"/>
      <w:contextualSpacing/>
    </w:pPr>
  </w:style>
  <w:style w:type="table" w:styleId="Tabel-Gitter">
    <w:name w:val="Table Grid"/>
    <w:basedOn w:val="Tabel-Normal"/>
    <w:uiPriority w:val="59"/>
    <w:rsid w:val="002A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A5C51"/>
    <w:rPr>
      <w:sz w:val="18"/>
      <w:szCs w:val="18"/>
    </w:rPr>
  </w:style>
  <w:style w:type="paragraph" w:styleId="Kommentartekst">
    <w:name w:val="annotation text"/>
    <w:basedOn w:val="Normal"/>
    <w:link w:val="KommentartekstTegn"/>
    <w:uiPriority w:val="99"/>
    <w:semiHidden/>
    <w:unhideWhenUsed/>
    <w:rsid w:val="003A5C51"/>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3A5C51"/>
    <w:rPr>
      <w:sz w:val="24"/>
      <w:szCs w:val="24"/>
    </w:rPr>
  </w:style>
  <w:style w:type="paragraph" w:styleId="Markeringsbobletekst">
    <w:name w:val="Balloon Text"/>
    <w:basedOn w:val="Normal"/>
    <w:link w:val="MarkeringsbobletekstTegn"/>
    <w:uiPriority w:val="99"/>
    <w:semiHidden/>
    <w:unhideWhenUsed/>
    <w:rsid w:val="003A5C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5C51"/>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FF0675"/>
    <w:rPr>
      <w:b/>
      <w:bCs/>
      <w:sz w:val="20"/>
      <w:szCs w:val="20"/>
    </w:rPr>
  </w:style>
  <w:style w:type="character" w:customStyle="1" w:styleId="KommentaremneTegn">
    <w:name w:val="Kommentaremne Tegn"/>
    <w:basedOn w:val="KommentartekstTegn"/>
    <w:link w:val="Kommentaremne"/>
    <w:uiPriority w:val="99"/>
    <w:semiHidden/>
    <w:rsid w:val="00FF0675"/>
    <w:rPr>
      <w:b/>
      <w:bCs/>
      <w:sz w:val="20"/>
      <w:szCs w:val="20"/>
    </w:rPr>
  </w:style>
  <w:style w:type="character" w:styleId="Hyperlink">
    <w:name w:val="Hyperlink"/>
    <w:basedOn w:val="Standardskrifttypeiafsnit"/>
    <w:uiPriority w:val="99"/>
    <w:unhideWhenUsed/>
    <w:rsid w:val="00FF0675"/>
    <w:rPr>
      <w:color w:val="0000FF" w:themeColor="hyperlink"/>
      <w:u w:val="single"/>
    </w:rPr>
  </w:style>
  <w:style w:type="character" w:styleId="Ulstomtale">
    <w:name w:val="Unresolved Mention"/>
    <w:basedOn w:val="Standardskrifttypeiafsnit"/>
    <w:uiPriority w:val="99"/>
    <w:semiHidden/>
    <w:unhideWhenUsed/>
    <w:rsid w:val="00FF0675"/>
    <w:rPr>
      <w:color w:val="808080"/>
      <w:shd w:val="clear" w:color="auto" w:fill="E6E6E6"/>
    </w:rPr>
  </w:style>
  <w:style w:type="character" w:customStyle="1" w:styleId="Overskrift1Tegn">
    <w:name w:val="Overskrift 1 Tegn"/>
    <w:basedOn w:val="Standardskrifttypeiafsnit"/>
    <w:link w:val="Overskrift1"/>
    <w:uiPriority w:val="9"/>
    <w:rsid w:val="00A27A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26957">
      <w:bodyDiv w:val="1"/>
      <w:marLeft w:val="0"/>
      <w:marRight w:val="0"/>
      <w:marTop w:val="0"/>
      <w:marBottom w:val="0"/>
      <w:divBdr>
        <w:top w:val="none" w:sz="0" w:space="0" w:color="auto"/>
        <w:left w:val="none" w:sz="0" w:space="0" w:color="auto"/>
        <w:bottom w:val="none" w:sz="0" w:space="0" w:color="auto"/>
        <w:right w:val="none" w:sz="0" w:space="0" w:color="auto"/>
      </w:divBdr>
    </w:div>
    <w:div w:id="1049307058">
      <w:bodyDiv w:val="1"/>
      <w:marLeft w:val="0"/>
      <w:marRight w:val="0"/>
      <w:marTop w:val="0"/>
      <w:marBottom w:val="0"/>
      <w:divBdr>
        <w:top w:val="none" w:sz="0" w:space="0" w:color="auto"/>
        <w:left w:val="none" w:sz="0" w:space="0" w:color="auto"/>
        <w:bottom w:val="none" w:sz="0" w:space="0" w:color="auto"/>
        <w:right w:val="none" w:sz="0" w:space="0" w:color="auto"/>
      </w:divBdr>
    </w:div>
    <w:div w:id="11835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CE3B76239BF4481CD9C9D3478AD55" ma:contentTypeVersion="4" ma:contentTypeDescription="Create a new document." ma:contentTypeScope="" ma:versionID="cf2b660759b608d5e9ef9c978cf7fbbb">
  <xsd:schema xmlns:xsd="http://www.w3.org/2001/XMLSchema" xmlns:xs="http://www.w3.org/2001/XMLSchema" xmlns:p="http://schemas.microsoft.com/office/2006/metadata/properties" xmlns:ns2="6c5c68e0-0915-4b92-9a31-afa3a4d61c1d" targetNamespace="http://schemas.microsoft.com/office/2006/metadata/properties" ma:root="true" ma:fieldsID="32d686a1d2ebb7d46d042050e5ed5694" ns2:_="">
    <xsd:import namespace="6c5c68e0-0915-4b92-9a31-afa3a4d61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68e0-0915-4b92-9a31-afa3a4d61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F836-CBFA-4026-B91D-B7F8B7C32A38}">
  <ds:schemaRefs>
    <ds:schemaRef ds:uri="http://schemas.microsoft.com/sharepoint/v3/contenttype/forms"/>
  </ds:schemaRefs>
</ds:datastoreItem>
</file>

<file path=customXml/itemProps2.xml><?xml version="1.0" encoding="utf-8"?>
<ds:datastoreItem xmlns:ds="http://schemas.openxmlformats.org/officeDocument/2006/customXml" ds:itemID="{194C708A-13A0-49E8-A6CD-42CD6726D8F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bc7c327-9832-4aa3-a04b-1ae6dc12cdf0"/>
    <ds:schemaRef ds:uri="3faaf6ea-1414-4a6a-9e4b-6f69d55e2db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B21DC1-23F8-4E0F-A3A8-296F69F3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68e0-0915-4b92-9a31-afa3a4d61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FFEE5-9C04-4735-9317-5D386B22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3097</Characters>
  <Application>Microsoft Office Word</Application>
  <DocSecurity>0</DocSecurity>
  <Lines>25</Lines>
  <Paragraphs>7</Paragraphs>
  <ScaleCrop>false</ScaleCrop>
  <Company>Syddansk Universitet - Samfundsvidenskab</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Ringsmose</dc:creator>
  <cp:lastModifiedBy>Johan Aagaard</cp:lastModifiedBy>
  <cp:revision>9</cp:revision>
  <dcterms:created xsi:type="dcterms:W3CDTF">2018-08-28T07:16:00Z</dcterms:created>
  <dcterms:modified xsi:type="dcterms:W3CDTF">2023-03-29T13:09:00Z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0x010100878CE3B76239BF4481CD9C9D3478AD55</vt:lpwstr>
  </property>
  <property fmtid="{D5CDD505-2E9C-101B-9397-08002B2CF9AE}" pid="3" name="OfficeInstanceGUID">
    <vt:lpwstr>{0483967D-7CB4-434B-88AB-B989344508CA}</vt:lpwstr>
  </property>
</Properties>
</file>