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02C8" w14:textId="437AD8A0" w:rsidR="0073007B" w:rsidRDefault="001170A2">
      <w:pPr>
        <w:rPr>
          <w:lang w:val="en-US"/>
        </w:rPr>
      </w:pPr>
      <w:r w:rsidRPr="005E6400">
        <w:rPr>
          <w:rStyle w:val="Heading1Char"/>
          <w:lang w:val="en-US"/>
        </w:rPr>
        <w:t xml:space="preserve">Model for </w:t>
      </w:r>
      <w:r w:rsidR="005E6400" w:rsidRPr="005E6400">
        <w:rPr>
          <w:rStyle w:val="Heading1Char"/>
          <w:lang w:val="en-US"/>
        </w:rPr>
        <w:t>PhD student</w:t>
      </w:r>
      <w:r w:rsidR="00C82FCF">
        <w:rPr>
          <w:rStyle w:val="Heading1Char"/>
          <w:lang w:val="en-US"/>
        </w:rPr>
        <w:t>’</w:t>
      </w:r>
      <w:r w:rsidR="005E6400" w:rsidRPr="005E6400">
        <w:rPr>
          <w:rStyle w:val="Heading1Char"/>
          <w:lang w:val="en-US"/>
        </w:rPr>
        <w:t>s work</w:t>
      </w:r>
      <w:r w:rsidR="005E6400">
        <w:rPr>
          <w:rStyle w:val="Heading1Char"/>
          <w:lang w:val="en-US"/>
        </w:rPr>
        <w:t xml:space="preserve"> duties at the </w:t>
      </w:r>
      <w:r w:rsidR="00197EE0">
        <w:rPr>
          <w:rStyle w:val="Heading1Char"/>
          <w:lang w:val="en-US"/>
        </w:rPr>
        <w:t>D</w:t>
      </w:r>
      <w:r w:rsidR="005E6400">
        <w:rPr>
          <w:rStyle w:val="Heading1Char"/>
          <w:lang w:val="en-US"/>
        </w:rPr>
        <w:t>epartment of Political Science and Public Management</w:t>
      </w:r>
      <w:r w:rsidR="0073007B">
        <w:rPr>
          <w:rStyle w:val="Heading1Char"/>
          <w:lang w:val="en-US"/>
        </w:rPr>
        <w:t>, SDU.</w:t>
      </w:r>
    </w:p>
    <w:p w14:paraId="27CCCF1C" w14:textId="3E4D800B" w:rsidR="00021106" w:rsidRDefault="005E6400">
      <w:pPr>
        <w:rPr>
          <w:lang w:val="en-US"/>
        </w:rPr>
      </w:pPr>
      <w:r w:rsidRPr="005E6400">
        <w:rPr>
          <w:lang w:val="en-US"/>
        </w:rPr>
        <w:t xml:space="preserve">This model clarifies the PhD student's work </w:t>
      </w:r>
      <w:r>
        <w:rPr>
          <w:lang w:val="en-US"/>
        </w:rPr>
        <w:t>duties</w:t>
      </w:r>
      <w:r w:rsidRPr="005E6400">
        <w:rPr>
          <w:lang w:val="en-US"/>
        </w:rPr>
        <w:t xml:space="preserve"> at the department in addition to the</w:t>
      </w:r>
      <w:r>
        <w:rPr>
          <w:lang w:val="en-US"/>
        </w:rPr>
        <w:t>ir</w:t>
      </w:r>
      <w:r w:rsidRPr="005E6400">
        <w:rPr>
          <w:lang w:val="en-US"/>
        </w:rPr>
        <w:t xml:space="preserve"> </w:t>
      </w:r>
      <w:r w:rsidR="006C0546">
        <w:rPr>
          <w:lang w:val="en-US"/>
        </w:rPr>
        <w:t xml:space="preserve">PhD </w:t>
      </w:r>
      <w:r w:rsidRPr="005E6400">
        <w:rPr>
          <w:lang w:val="en-US"/>
        </w:rPr>
        <w:t>project-related work.</w:t>
      </w:r>
      <w:r w:rsidR="00C82FCF">
        <w:rPr>
          <w:lang w:val="en-US"/>
        </w:rPr>
        <w:t xml:space="preserve"> </w:t>
      </w:r>
      <w:r w:rsidRPr="00BC51EB">
        <w:rPr>
          <w:b/>
          <w:bCs/>
          <w:lang w:val="en-US"/>
        </w:rPr>
        <w:t>The model applies to all PhD students</w:t>
      </w:r>
      <w:r w:rsidR="00A72580" w:rsidRPr="00BC51EB">
        <w:rPr>
          <w:b/>
          <w:bCs/>
          <w:lang w:val="en-US"/>
        </w:rPr>
        <w:t xml:space="preserve"> employed</w:t>
      </w:r>
      <w:r w:rsidRPr="00BC51EB">
        <w:rPr>
          <w:b/>
          <w:bCs/>
          <w:lang w:val="en-US"/>
        </w:rPr>
        <w:t xml:space="preserve"> at the Department </w:t>
      </w:r>
      <w:r w:rsidR="00A72580" w:rsidRPr="00BC51EB">
        <w:rPr>
          <w:b/>
          <w:bCs/>
          <w:lang w:val="en-US"/>
        </w:rPr>
        <w:t>who</w:t>
      </w:r>
      <w:r w:rsidRPr="00BC51EB">
        <w:rPr>
          <w:b/>
          <w:bCs/>
          <w:lang w:val="en-US"/>
        </w:rPr>
        <w:t xml:space="preserve"> start from 1 February 202</w:t>
      </w:r>
      <w:r w:rsidR="003C004D" w:rsidRPr="00BC51EB">
        <w:rPr>
          <w:b/>
          <w:bCs/>
          <w:lang w:val="en-US"/>
        </w:rPr>
        <w:t>4</w:t>
      </w:r>
      <w:r w:rsidRPr="00A72580">
        <w:rPr>
          <w:lang w:val="en-US"/>
        </w:rPr>
        <w:t>.</w:t>
      </w:r>
      <w:r w:rsidR="00BD5D57">
        <w:rPr>
          <w:rStyle w:val="FootnoteReference"/>
          <w:lang w:val="en-US"/>
        </w:rPr>
        <w:footnoteReference w:id="1"/>
      </w:r>
    </w:p>
    <w:p w14:paraId="4235E618" w14:textId="49639171" w:rsidR="005E6400" w:rsidRPr="0051784E" w:rsidRDefault="005E6400" w:rsidP="00D4693F">
      <w:pPr>
        <w:rPr>
          <w:lang w:val="en-US"/>
        </w:rPr>
      </w:pPr>
      <w:r w:rsidRPr="005E6400">
        <w:rPr>
          <w:lang w:val="en-US"/>
        </w:rPr>
        <w:t xml:space="preserve">PhD students are obliged to ‘undertake work duties for and as directed by the employing institution, up to an extent which for a three-year term of employment will correspond to a total of 840 working hours’ (Protocol on PhD fellows §7, </w:t>
      </w:r>
      <w:r w:rsidR="00D4693F">
        <w:rPr>
          <w:lang w:val="en-US"/>
        </w:rPr>
        <w:t xml:space="preserve">appendix 5 </w:t>
      </w:r>
      <w:r w:rsidR="00D4693F" w:rsidRPr="00D4693F">
        <w:rPr>
          <w:lang w:val="en-US"/>
        </w:rPr>
        <w:t>Circular on the collective agreement for academic staff</w:t>
      </w:r>
      <w:r w:rsidR="006B33A7">
        <w:rPr>
          <w:lang w:val="en-US"/>
        </w:rPr>
        <w:t xml:space="preserve"> </w:t>
      </w:r>
      <w:r w:rsidR="00D4693F" w:rsidRPr="00D4693F">
        <w:rPr>
          <w:lang w:val="en-US"/>
        </w:rPr>
        <w:t>employed by the State Sector</w:t>
      </w:r>
      <w:r w:rsidRPr="005E6400">
        <w:rPr>
          <w:lang w:val="en-US"/>
        </w:rPr>
        <w:t>)</w:t>
      </w:r>
      <w:r w:rsidR="00E44997">
        <w:rPr>
          <w:rStyle w:val="FootnoteReference"/>
          <w:lang w:val="en-US"/>
        </w:rPr>
        <w:footnoteReference w:id="2"/>
      </w:r>
      <w:r w:rsidRPr="005E6400">
        <w:rPr>
          <w:lang w:val="en-US"/>
        </w:rPr>
        <w:t xml:space="preserve">. </w:t>
      </w:r>
      <w:r w:rsidR="00C622D6">
        <w:rPr>
          <w:lang w:val="en-US"/>
        </w:rPr>
        <w:t xml:space="preserve"> </w:t>
      </w:r>
    </w:p>
    <w:p w14:paraId="76662B85" w14:textId="66EFD2F3" w:rsidR="001170A2" w:rsidRDefault="005E6400">
      <w:pPr>
        <w:rPr>
          <w:lang w:val="en-US"/>
        </w:rPr>
      </w:pPr>
      <w:r w:rsidRPr="005E6400">
        <w:rPr>
          <w:lang w:val="en-US"/>
        </w:rPr>
        <w:t>The work duties will be registered in the</w:t>
      </w:r>
      <w:r w:rsidR="00BD5D57">
        <w:rPr>
          <w:lang w:val="en-US"/>
        </w:rPr>
        <w:t xml:space="preserve"> PhD </w:t>
      </w:r>
      <w:r w:rsidR="00D4693F">
        <w:rPr>
          <w:lang w:val="en-US"/>
        </w:rPr>
        <w:t>student’s</w:t>
      </w:r>
      <w:r w:rsidR="00BD5D57">
        <w:rPr>
          <w:lang w:val="en-US"/>
        </w:rPr>
        <w:t xml:space="preserve"> individual</w:t>
      </w:r>
      <w:r w:rsidRPr="005E6400">
        <w:rPr>
          <w:lang w:val="en-US"/>
        </w:rPr>
        <w:t xml:space="preserve"> n</w:t>
      </w:r>
      <w:r>
        <w:rPr>
          <w:lang w:val="en-US"/>
        </w:rPr>
        <w:t>o</w:t>
      </w:r>
      <w:r w:rsidRPr="005E6400">
        <w:rPr>
          <w:lang w:val="en-US"/>
        </w:rPr>
        <w:t>rm</w:t>
      </w:r>
      <w:r>
        <w:rPr>
          <w:lang w:val="en-US"/>
        </w:rPr>
        <w:t xml:space="preserve"> </w:t>
      </w:r>
      <w:r w:rsidR="00BD5D57">
        <w:rPr>
          <w:lang w:val="en-US"/>
        </w:rPr>
        <w:t>account</w:t>
      </w:r>
      <w:r w:rsidRPr="005E6400">
        <w:rPr>
          <w:lang w:val="en-US"/>
        </w:rPr>
        <w:t xml:space="preserve"> </w:t>
      </w:r>
      <w:r>
        <w:rPr>
          <w:lang w:val="en-US"/>
        </w:rPr>
        <w:t>in the following way</w:t>
      </w:r>
      <w:r w:rsidR="001170A2" w:rsidRPr="005E6400">
        <w:rPr>
          <w:lang w:val="en-U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2551"/>
        <w:gridCol w:w="2262"/>
      </w:tblGrid>
      <w:tr w:rsidR="0059334E" w14:paraId="07B6DC93" w14:textId="77777777" w:rsidTr="0059334E">
        <w:tc>
          <w:tcPr>
            <w:tcW w:w="4815" w:type="dxa"/>
          </w:tcPr>
          <w:p w14:paraId="7ED809F2" w14:textId="77777777" w:rsidR="0059334E" w:rsidRDefault="0059334E">
            <w:pPr>
              <w:rPr>
                <w:lang w:val="en-US"/>
              </w:rPr>
            </w:pPr>
          </w:p>
        </w:tc>
        <w:tc>
          <w:tcPr>
            <w:tcW w:w="2551" w:type="dxa"/>
          </w:tcPr>
          <w:p w14:paraId="41028F30" w14:textId="5F26A026" w:rsidR="0059334E" w:rsidRDefault="0059334E">
            <w:pPr>
              <w:rPr>
                <w:lang w:val="en-US"/>
              </w:rPr>
            </w:pPr>
            <w:r>
              <w:rPr>
                <w:lang w:val="en-US"/>
              </w:rPr>
              <w:t>Department funded PhD</w:t>
            </w:r>
          </w:p>
        </w:tc>
        <w:tc>
          <w:tcPr>
            <w:tcW w:w="2262" w:type="dxa"/>
          </w:tcPr>
          <w:p w14:paraId="1A3BEB19" w14:textId="4CC534F1" w:rsidR="0059334E" w:rsidRDefault="0059334E">
            <w:pPr>
              <w:rPr>
                <w:lang w:val="en-US"/>
              </w:rPr>
            </w:pPr>
            <w:r>
              <w:rPr>
                <w:lang w:val="en-US"/>
              </w:rPr>
              <w:t>Externally funded PhD</w:t>
            </w:r>
          </w:p>
        </w:tc>
      </w:tr>
      <w:tr w:rsidR="0059334E" w14:paraId="2AA198B0" w14:textId="77777777" w:rsidTr="0059334E">
        <w:tc>
          <w:tcPr>
            <w:tcW w:w="4815" w:type="dxa"/>
          </w:tcPr>
          <w:p w14:paraId="26151B9D" w14:textId="70CAC20C" w:rsidR="0059334E" w:rsidRPr="0059334E" w:rsidRDefault="0059334E" w:rsidP="0059334E">
            <w:pPr>
              <w:rPr>
                <w:lang w:val="en-US"/>
              </w:rPr>
            </w:pPr>
            <w:r w:rsidRPr="0059334E">
              <w:rPr>
                <w:lang w:val="en-US"/>
              </w:rPr>
              <w:t>Academic and pedagogical development and miscellaneous departmental activities</w:t>
            </w:r>
          </w:p>
          <w:p w14:paraId="389C4649" w14:textId="77777777" w:rsidR="0059334E" w:rsidRPr="0059334E" w:rsidRDefault="0059334E" w:rsidP="0059334E">
            <w:pPr>
              <w:rPr>
                <w:lang w:val="en-US"/>
              </w:rPr>
            </w:pPr>
            <w:r w:rsidRPr="0059334E">
              <w:rPr>
                <w:lang w:val="en-US"/>
              </w:rPr>
              <w:t>(registered by default)</w:t>
            </w:r>
          </w:p>
          <w:p w14:paraId="0D38B99D" w14:textId="5E413582" w:rsidR="0059334E" w:rsidRPr="0059334E" w:rsidRDefault="0059334E" w:rsidP="0059334E">
            <w:pPr>
              <w:rPr>
                <w:lang w:val="en-US"/>
              </w:rPr>
            </w:pPr>
            <w:r w:rsidRPr="0059334E">
              <w:rPr>
                <w:lang w:val="en-US"/>
              </w:rPr>
              <w:t>total/ per semester</w:t>
            </w:r>
          </w:p>
        </w:tc>
        <w:tc>
          <w:tcPr>
            <w:tcW w:w="2551" w:type="dxa"/>
          </w:tcPr>
          <w:p w14:paraId="4A536912" w14:textId="77777777" w:rsidR="0059334E" w:rsidRDefault="0059334E" w:rsidP="0059334E">
            <w:pPr>
              <w:jc w:val="center"/>
              <w:rPr>
                <w:lang w:val="en-US"/>
              </w:rPr>
            </w:pPr>
          </w:p>
          <w:p w14:paraId="05D0A4CF" w14:textId="77777777" w:rsidR="0059334E" w:rsidRDefault="0059334E" w:rsidP="0059334E">
            <w:pPr>
              <w:jc w:val="center"/>
              <w:rPr>
                <w:lang w:val="en-US"/>
              </w:rPr>
            </w:pPr>
          </w:p>
          <w:p w14:paraId="6F9EBF1A" w14:textId="77777777" w:rsidR="0059334E" w:rsidRDefault="0059334E" w:rsidP="0059334E">
            <w:pPr>
              <w:jc w:val="center"/>
              <w:rPr>
                <w:lang w:val="en-US"/>
              </w:rPr>
            </w:pPr>
          </w:p>
          <w:p w14:paraId="54357714" w14:textId="304F5C90" w:rsidR="0059334E" w:rsidRDefault="0059334E" w:rsidP="0059334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240/40</w:t>
            </w:r>
          </w:p>
        </w:tc>
        <w:tc>
          <w:tcPr>
            <w:tcW w:w="2262" w:type="dxa"/>
          </w:tcPr>
          <w:p w14:paraId="456A4E0A" w14:textId="77777777" w:rsidR="0059334E" w:rsidRDefault="0059334E" w:rsidP="0059334E">
            <w:pPr>
              <w:jc w:val="center"/>
              <w:rPr>
                <w:lang w:val="en-US"/>
              </w:rPr>
            </w:pPr>
          </w:p>
          <w:p w14:paraId="40A0CF39" w14:textId="77777777" w:rsidR="0059334E" w:rsidRDefault="0059334E" w:rsidP="0059334E">
            <w:pPr>
              <w:jc w:val="center"/>
              <w:rPr>
                <w:lang w:val="en-US"/>
              </w:rPr>
            </w:pPr>
          </w:p>
          <w:p w14:paraId="0436E5AB" w14:textId="77777777" w:rsidR="0059334E" w:rsidRDefault="0059334E" w:rsidP="0059334E">
            <w:pPr>
              <w:jc w:val="center"/>
              <w:rPr>
                <w:lang w:val="en-US"/>
              </w:rPr>
            </w:pPr>
          </w:p>
          <w:p w14:paraId="22261934" w14:textId="743A8616" w:rsidR="0059334E" w:rsidRDefault="0059334E" w:rsidP="0059334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240/40</w:t>
            </w:r>
          </w:p>
        </w:tc>
      </w:tr>
      <w:tr w:rsidR="0059334E" w14:paraId="35FCEA44" w14:textId="77777777" w:rsidTr="0059334E">
        <w:tc>
          <w:tcPr>
            <w:tcW w:w="4815" w:type="dxa"/>
          </w:tcPr>
          <w:p w14:paraId="4A96F5EA" w14:textId="77777777" w:rsidR="0059334E" w:rsidRDefault="0059334E">
            <w:pPr>
              <w:rPr>
                <w:lang w:val="en-US"/>
              </w:rPr>
            </w:pPr>
            <w:r w:rsidRPr="0059334E">
              <w:rPr>
                <w:lang w:val="en-US"/>
              </w:rPr>
              <w:t>Teaching and supervision</w:t>
            </w:r>
            <w:r>
              <w:rPr>
                <w:lang w:val="en-US"/>
              </w:rPr>
              <w:t>*</w:t>
            </w:r>
          </w:p>
          <w:p w14:paraId="3B04291C" w14:textId="2E4323E1" w:rsidR="00984331" w:rsidRPr="0059334E" w:rsidRDefault="00984331">
            <w:pPr>
              <w:rPr>
                <w:lang w:val="en-US"/>
              </w:rPr>
            </w:pPr>
            <w:r>
              <w:rPr>
                <w:lang w:val="en-US"/>
              </w:rPr>
              <w:t>In total</w:t>
            </w:r>
          </w:p>
        </w:tc>
        <w:tc>
          <w:tcPr>
            <w:tcW w:w="2551" w:type="dxa"/>
          </w:tcPr>
          <w:p w14:paraId="0ADFDF91" w14:textId="77777777" w:rsidR="00984331" w:rsidRDefault="00984331" w:rsidP="0059334E">
            <w:pPr>
              <w:jc w:val="center"/>
              <w:rPr>
                <w:lang w:val="en-US"/>
              </w:rPr>
            </w:pPr>
          </w:p>
          <w:p w14:paraId="29A9F728" w14:textId="378F2DE1" w:rsidR="0059334E" w:rsidRDefault="0059334E" w:rsidP="0059334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Minimum 400</w:t>
            </w:r>
          </w:p>
        </w:tc>
        <w:tc>
          <w:tcPr>
            <w:tcW w:w="2262" w:type="dxa"/>
          </w:tcPr>
          <w:p w14:paraId="3BB1CBDA" w14:textId="77777777" w:rsidR="00984331" w:rsidRDefault="00984331" w:rsidP="0059334E">
            <w:pPr>
              <w:jc w:val="center"/>
              <w:rPr>
                <w:lang w:val="en-US"/>
              </w:rPr>
            </w:pPr>
          </w:p>
          <w:p w14:paraId="787B8727" w14:textId="4C42D9FE" w:rsidR="0059334E" w:rsidRDefault="0059334E" w:rsidP="0059334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Minimum 400</w:t>
            </w:r>
          </w:p>
        </w:tc>
      </w:tr>
      <w:tr w:rsidR="0059334E" w14:paraId="31E42BB7" w14:textId="77777777" w:rsidTr="0059334E">
        <w:tc>
          <w:tcPr>
            <w:tcW w:w="4815" w:type="dxa"/>
          </w:tcPr>
          <w:p w14:paraId="0432F5D4" w14:textId="77777777" w:rsidR="0059334E" w:rsidRPr="0059334E" w:rsidRDefault="0059334E">
            <w:pPr>
              <w:rPr>
                <w:lang w:val="en-US"/>
              </w:rPr>
            </w:pPr>
            <w:r w:rsidRPr="0059334E">
              <w:rPr>
                <w:lang w:val="en-US"/>
              </w:rPr>
              <w:t xml:space="preserve">Project related work </w:t>
            </w:r>
          </w:p>
          <w:p w14:paraId="146B65A4" w14:textId="21383416" w:rsidR="0059334E" w:rsidRPr="0059334E" w:rsidRDefault="0059334E">
            <w:pPr>
              <w:rPr>
                <w:lang w:val="en-US"/>
              </w:rPr>
            </w:pPr>
            <w:r w:rsidRPr="0059334E">
              <w:rPr>
                <w:lang w:val="en-US"/>
              </w:rPr>
              <w:t>in total</w:t>
            </w:r>
          </w:p>
        </w:tc>
        <w:tc>
          <w:tcPr>
            <w:tcW w:w="2551" w:type="dxa"/>
          </w:tcPr>
          <w:p w14:paraId="772705EA" w14:textId="77777777" w:rsidR="0059334E" w:rsidRDefault="0059334E" w:rsidP="0059334E">
            <w:pPr>
              <w:jc w:val="center"/>
              <w:rPr>
                <w:lang w:val="en-US"/>
              </w:rPr>
            </w:pPr>
          </w:p>
        </w:tc>
        <w:tc>
          <w:tcPr>
            <w:tcW w:w="2262" w:type="dxa"/>
          </w:tcPr>
          <w:p w14:paraId="4BA4154E" w14:textId="77777777" w:rsidR="0059334E" w:rsidRDefault="0059334E" w:rsidP="0059334E">
            <w:pPr>
              <w:jc w:val="center"/>
              <w:rPr>
                <w:lang w:val="en-US"/>
              </w:rPr>
            </w:pPr>
          </w:p>
          <w:p w14:paraId="2F1ACAD5" w14:textId="320D8495" w:rsidR="0059334E" w:rsidRDefault="0059334E" w:rsidP="0059334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Up to 200</w:t>
            </w:r>
          </w:p>
        </w:tc>
      </w:tr>
      <w:tr w:rsidR="0059334E" w14:paraId="6FFE8006" w14:textId="77777777" w:rsidTr="0059334E">
        <w:tc>
          <w:tcPr>
            <w:tcW w:w="4815" w:type="dxa"/>
          </w:tcPr>
          <w:p w14:paraId="7C610CF5" w14:textId="77777777" w:rsidR="0059334E" w:rsidRDefault="0059334E">
            <w:pPr>
              <w:rPr>
                <w:lang w:val="en-US"/>
              </w:rPr>
            </w:pPr>
            <w:r w:rsidRPr="0059334E">
              <w:rPr>
                <w:lang w:val="en-US"/>
              </w:rPr>
              <w:t>Specified department tasks</w:t>
            </w:r>
          </w:p>
          <w:p w14:paraId="65F6DA89" w14:textId="361B1486" w:rsidR="00984331" w:rsidRPr="0059334E" w:rsidRDefault="00984331">
            <w:pPr>
              <w:rPr>
                <w:lang w:val="en-US"/>
              </w:rPr>
            </w:pPr>
            <w:r>
              <w:rPr>
                <w:lang w:val="en-US"/>
              </w:rPr>
              <w:t>In total</w:t>
            </w:r>
          </w:p>
        </w:tc>
        <w:tc>
          <w:tcPr>
            <w:tcW w:w="2551" w:type="dxa"/>
          </w:tcPr>
          <w:p w14:paraId="13B0EC8D" w14:textId="77777777" w:rsidR="00984331" w:rsidRDefault="00984331" w:rsidP="0059334E">
            <w:pPr>
              <w:jc w:val="center"/>
              <w:rPr>
                <w:lang w:val="en-US"/>
              </w:rPr>
            </w:pPr>
          </w:p>
          <w:p w14:paraId="4A2AAB23" w14:textId="0D51BC49" w:rsidR="0059334E" w:rsidRDefault="0059334E" w:rsidP="0059334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Up to 200</w:t>
            </w:r>
          </w:p>
        </w:tc>
        <w:tc>
          <w:tcPr>
            <w:tcW w:w="2262" w:type="dxa"/>
          </w:tcPr>
          <w:p w14:paraId="1FEFE357" w14:textId="77777777" w:rsidR="0059334E" w:rsidRDefault="0059334E" w:rsidP="0059334E">
            <w:pPr>
              <w:jc w:val="center"/>
              <w:rPr>
                <w:lang w:val="en-US"/>
              </w:rPr>
            </w:pPr>
          </w:p>
          <w:p w14:paraId="61F430BC" w14:textId="6F1C0C8C" w:rsidR="00BC51EB" w:rsidRDefault="00BC51EB" w:rsidP="0059334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Up to 200</w:t>
            </w:r>
          </w:p>
        </w:tc>
      </w:tr>
      <w:tr w:rsidR="0059334E" w14:paraId="4C6C3E2A" w14:textId="77777777" w:rsidTr="0059334E">
        <w:tc>
          <w:tcPr>
            <w:tcW w:w="4815" w:type="dxa"/>
          </w:tcPr>
          <w:p w14:paraId="6252EE6C" w14:textId="77777777" w:rsidR="0059334E" w:rsidRPr="00E34F08" w:rsidRDefault="0059334E">
            <w:pPr>
              <w:rPr>
                <w:b/>
                <w:bCs/>
                <w:lang w:val="en-US"/>
              </w:rPr>
            </w:pPr>
            <w:r w:rsidRPr="00E34F08">
              <w:rPr>
                <w:b/>
                <w:bCs/>
                <w:lang w:val="en-US"/>
              </w:rPr>
              <w:t xml:space="preserve">Norm hours </w:t>
            </w:r>
          </w:p>
          <w:p w14:paraId="7269123B" w14:textId="514C8D60" w:rsidR="0059334E" w:rsidRPr="00E34F08" w:rsidRDefault="0059334E">
            <w:pPr>
              <w:rPr>
                <w:b/>
                <w:bCs/>
                <w:lang w:val="en-US"/>
              </w:rPr>
            </w:pPr>
            <w:r w:rsidRPr="00E34F08">
              <w:rPr>
                <w:b/>
                <w:bCs/>
                <w:lang w:val="en-US"/>
              </w:rPr>
              <w:t>in total/ per semester</w:t>
            </w:r>
          </w:p>
        </w:tc>
        <w:tc>
          <w:tcPr>
            <w:tcW w:w="2551" w:type="dxa"/>
          </w:tcPr>
          <w:p w14:paraId="0CB28D70" w14:textId="77777777" w:rsidR="0059334E" w:rsidRPr="00E34F08" w:rsidRDefault="0059334E" w:rsidP="0059334E">
            <w:pPr>
              <w:jc w:val="center"/>
              <w:rPr>
                <w:b/>
                <w:bCs/>
                <w:lang w:val="en-US"/>
              </w:rPr>
            </w:pPr>
          </w:p>
          <w:p w14:paraId="43ED6622" w14:textId="00D87FFC" w:rsidR="0059334E" w:rsidRPr="00E34F08" w:rsidRDefault="0059334E" w:rsidP="0059334E">
            <w:pPr>
              <w:jc w:val="center"/>
              <w:rPr>
                <w:b/>
                <w:bCs/>
                <w:lang w:val="en-US"/>
              </w:rPr>
            </w:pPr>
            <w:r w:rsidRPr="00E34F08">
              <w:rPr>
                <w:b/>
                <w:bCs/>
                <w:lang w:val="en-US"/>
              </w:rPr>
              <w:t>840/140</w:t>
            </w:r>
          </w:p>
        </w:tc>
        <w:tc>
          <w:tcPr>
            <w:tcW w:w="2262" w:type="dxa"/>
          </w:tcPr>
          <w:p w14:paraId="540A7774" w14:textId="77777777" w:rsidR="0059334E" w:rsidRPr="00E34F08" w:rsidRDefault="0059334E" w:rsidP="0059334E">
            <w:pPr>
              <w:jc w:val="center"/>
              <w:rPr>
                <w:b/>
                <w:bCs/>
                <w:lang w:val="en-US"/>
              </w:rPr>
            </w:pPr>
          </w:p>
          <w:p w14:paraId="0573F435" w14:textId="38E8BF95" w:rsidR="0059334E" w:rsidRPr="00E34F08" w:rsidRDefault="0059334E" w:rsidP="0059334E">
            <w:pPr>
              <w:jc w:val="center"/>
              <w:rPr>
                <w:b/>
                <w:bCs/>
                <w:lang w:val="en-US"/>
              </w:rPr>
            </w:pPr>
            <w:r w:rsidRPr="00E34F08">
              <w:rPr>
                <w:b/>
                <w:bCs/>
                <w:lang w:val="en-US"/>
              </w:rPr>
              <w:t>840/140</w:t>
            </w:r>
          </w:p>
        </w:tc>
      </w:tr>
    </w:tbl>
    <w:p w14:paraId="14148B5F" w14:textId="2D9D871E" w:rsidR="00503685" w:rsidRDefault="00860923" w:rsidP="005E6400">
      <w:pPr>
        <w:rPr>
          <w:sz w:val="18"/>
          <w:szCs w:val="18"/>
          <w:lang w:val="en-US"/>
        </w:rPr>
      </w:pPr>
      <w:r w:rsidRPr="4DDB9CA0">
        <w:rPr>
          <w:sz w:val="18"/>
          <w:szCs w:val="18"/>
          <w:lang w:val="en-US"/>
        </w:rPr>
        <w:t xml:space="preserve">* Teaching activities should be a minimum of </w:t>
      </w:r>
      <w:r w:rsidR="7DE6221E" w:rsidRPr="4DDB9CA0">
        <w:rPr>
          <w:sz w:val="18"/>
          <w:szCs w:val="18"/>
          <w:lang w:val="en-US"/>
        </w:rPr>
        <w:t>4</w:t>
      </w:r>
      <w:r w:rsidRPr="4DDB9CA0">
        <w:rPr>
          <w:sz w:val="18"/>
          <w:szCs w:val="18"/>
          <w:lang w:val="en-US"/>
        </w:rPr>
        <w:t xml:space="preserve">00 hours, while the remaining </w:t>
      </w:r>
      <w:r w:rsidR="58D27584" w:rsidRPr="4DDB9CA0">
        <w:rPr>
          <w:sz w:val="18"/>
          <w:szCs w:val="18"/>
          <w:lang w:val="en-US"/>
        </w:rPr>
        <w:t>2</w:t>
      </w:r>
      <w:r w:rsidRPr="4DDB9CA0">
        <w:rPr>
          <w:sz w:val="18"/>
          <w:szCs w:val="18"/>
          <w:lang w:val="en-US"/>
        </w:rPr>
        <w:t>0</w:t>
      </w:r>
      <w:r w:rsidR="00A803C9">
        <w:rPr>
          <w:sz w:val="18"/>
          <w:szCs w:val="18"/>
          <w:lang w:val="en-US"/>
        </w:rPr>
        <w:t>0</w:t>
      </w:r>
      <w:r w:rsidRPr="4DDB9CA0">
        <w:rPr>
          <w:sz w:val="18"/>
          <w:szCs w:val="18"/>
          <w:lang w:val="en-US"/>
        </w:rPr>
        <w:t xml:space="preserve"> hours may be allocated to </w:t>
      </w:r>
      <w:r w:rsidR="007531C6">
        <w:rPr>
          <w:sz w:val="18"/>
          <w:szCs w:val="18"/>
          <w:lang w:val="en-US"/>
        </w:rPr>
        <w:t>t</w:t>
      </w:r>
      <w:r w:rsidR="007531C6" w:rsidRPr="007531C6">
        <w:rPr>
          <w:sz w:val="18"/>
          <w:szCs w:val="18"/>
          <w:lang w:val="en-US"/>
        </w:rPr>
        <w:t xml:space="preserve">eaching, tasks related to third party funded projects and other specified department tasks  </w:t>
      </w:r>
    </w:p>
    <w:p w14:paraId="5A63C1F5" w14:textId="62C952E5" w:rsidR="00860923" w:rsidRPr="00A57828" w:rsidRDefault="003B7E72" w:rsidP="001170A2">
      <w:pPr>
        <w:rPr>
          <w:rFonts w:cstheme="minorHAnsi"/>
          <w:lang w:val="en-US"/>
        </w:rPr>
      </w:pPr>
      <w:r w:rsidRPr="008C7D1F">
        <w:rPr>
          <w:rFonts w:cstheme="minorHAnsi"/>
          <w:lang w:val="en-US"/>
        </w:rPr>
        <w:t>Norm</w:t>
      </w:r>
      <w:r w:rsidR="00A57828">
        <w:rPr>
          <w:rFonts w:cstheme="minorHAnsi"/>
          <w:lang w:val="en-US"/>
        </w:rPr>
        <w:t>s</w:t>
      </w:r>
      <w:r w:rsidRPr="008C7D1F">
        <w:rPr>
          <w:rFonts w:cstheme="minorHAnsi"/>
          <w:lang w:val="en-US"/>
        </w:rPr>
        <w:t xml:space="preserve"> for </w:t>
      </w:r>
      <w:r w:rsidR="00A57828">
        <w:rPr>
          <w:rFonts w:cstheme="minorHAnsi"/>
          <w:lang w:val="en-US"/>
        </w:rPr>
        <w:t xml:space="preserve">supervision and </w:t>
      </w:r>
      <w:r w:rsidRPr="008C7D1F">
        <w:rPr>
          <w:rFonts w:cstheme="minorHAnsi"/>
          <w:lang w:val="en-US"/>
        </w:rPr>
        <w:t>teac</w:t>
      </w:r>
      <w:r w:rsidRPr="006C0546">
        <w:rPr>
          <w:rFonts w:cstheme="minorHAnsi"/>
          <w:lang w:val="en-US"/>
        </w:rPr>
        <w:t>hing activities by PhD students are calculated in the same way as for other employees at the department</w:t>
      </w:r>
      <w:r w:rsidR="005B3F49" w:rsidRPr="006C0546">
        <w:rPr>
          <w:rFonts w:cstheme="minorHAnsi"/>
          <w:lang w:val="en-US"/>
        </w:rPr>
        <w:t xml:space="preserve"> (</w:t>
      </w:r>
      <w:r w:rsidR="00256AB7">
        <w:rPr>
          <w:rFonts w:cstheme="minorHAnsi"/>
          <w:lang w:val="en-US"/>
        </w:rPr>
        <w:t>s</w:t>
      </w:r>
      <w:r w:rsidR="005B3F49" w:rsidRPr="006C0546">
        <w:rPr>
          <w:rFonts w:cstheme="minorHAnsi"/>
          <w:lang w:val="en-US"/>
        </w:rPr>
        <w:t xml:space="preserve">ee </w:t>
      </w:r>
      <w:hyperlink r:id="rId11" w:history="1">
        <w:r w:rsidR="008C7D1F" w:rsidRPr="008C7D1F">
          <w:rPr>
            <w:rStyle w:val="Hyperlink"/>
            <w:rFonts w:cstheme="minorHAnsi"/>
            <w:b/>
            <w:bCs/>
            <w:lang w:val="en-GB"/>
          </w:rPr>
          <w:t>Norm system at the department of Political Science and Public Management</w:t>
        </w:r>
      </w:hyperlink>
      <w:r w:rsidR="008C7D1F" w:rsidRPr="008C7D1F">
        <w:rPr>
          <w:rStyle w:val="FootnoteReference"/>
          <w:rFonts w:cstheme="minorHAnsi"/>
          <w:b/>
          <w:bCs/>
          <w:lang w:val="en-GB"/>
        </w:rPr>
        <w:footnoteReference w:id="3"/>
      </w:r>
      <w:r w:rsidR="008C7D1F" w:rsidRPr="008C7D1F">
        <w:rPr>
          <w:rStyle w:val="Hyperlink"/>
          <w:rFonts w:cstheme="minorHAnsi"/>
          <w:b/>
          <w:bCs/>
          <w:lang w:val="en-GB"/>
        </w:rPr>
        <w:t>)</w:t>
      </w:r>
      <w:r w:rsidR="00256AB7">
        <w:rPr>
          <w:rStyle w:val="Hyperlink"/>
          <w:rFonts w:cstheme="minorHAnsi"/>
          <w:b/>
          <w:bCs/>
          <w:lang w:val="en-GB"/>
        </w:rPr>
        <w:t>.</w:t>
      </w:r>
      <w:r w:rsidRPr="008C7D1F">
        <w:rPr>
          <w:rFonts w:cstheme="minorHAnsi"/>
          <w:lang w:val="en-US"/>
        </w:rPr>
        <w:t xml:space="preserve"> </w:t>
      </w:r>
      <w:r w:rsidR="00A57828">
        <w:rPr>
          <w:rFonts w:cstheme="minorHAnsi"/>
          <w:lang w:val="en-US"/>
        </w:rPr>
        <w:br/>
      </w:r>
      <w:r w:rsidR="009A3D28">
        <w:rPr>
          <w:rFonts w:cstheme="minorHAnsi"/>
          <w:lang w:val="en-US"/>
        </w:rPr>
        <w:t xml:space="preserve">The department recognizes that </w:t>
      </w:r>
      <w:r w:rsidR="00860923" w:rsidRPr="00256AB7">
        <w:rPr>
          <w:rFonts w:cstheme="minorHAnsi"/>
          <w:lang w:val="en-US"/>
        </w:rPr>
        <w:t>PhD student</w:t>
      </w:r>
      <w:r w:rsidR="009A3D28">
        <w:rPr>
          <w:rFonts w:cstheme="minorHAnsi"/>
          <w:lang w:val="en-US"/>
        </w:rPr>
        <w:t xml:space="preserve">s </w:t>
      </w:r>
      <w:r w:rsidR="007521C4">
        <w:rPr>
          <w:rFonts w:cstheme="minorHAnsi"/>
          <w:lang w:val="en-US"/>
        </w:rPr>
        <w:t>typically are less experienced in a research and teaching environment</w:t>
      </w:r>
      <w:r w:rsidR="003C57B1">
        <w:rPr>
          <w:rFonts w:cstheme="minorHAnsi"/>
          <w:lang w:val="en-US"/>
        </w:rPr>
        <w:t>. Therefore,</w:t>
      </w:r>
      <w:r w:rsidR="007521C4">
        <w:rPr>
          <w:rFonts w:cstheme="minorHAnsi"/>
          <w:lang w:val="en-US"/>
        </w:rPr>
        <w:t xml:space="preserve"> PhD students </w:t>
      </w:r>
      <w:r w:rsidR="00860923" w:rsidRPr="00256AB7">
        <w:rPr>
          <w:rFonts w:cstheme="minorHAnsi"/>
          <w:lang w:val="en-US"/>
        </w:rPr>
        <w:t>will</w:t>
      </w:r>
      <w:r w:rsidR="007521C4">
        <w:rPr>
          <w:rFonts w:cstheme="minorHAnsi"/>
          <w:lang w:val="en-US"/>
        </w:rPr>
        <w:t xml:space="preserve"> </w:t>
      </w:r>
      <w:r w:rsidR="00860923" w:rsidRPr="00256AB7">
        <w:rPr>
          <w:rFonts w:cstheme="minorHAnsi"/>
          <w:lang w:val="en-US"/>
        </w:rPr>
        <w:t xml:space="preserve">be allocated </w:t>
      </w:r>
      <w:r w:rsidR="00A803C9">
        <w:rPr>
          <w:rFonts w:cstheme="minorHAnsi"/>
          <w:lang w:val="en-US"/>
        </w:rPr>
        <w:t xml:space="preserve">norms </w:t>
      </w:r>
      <w:r w:rsidR="007521C4">
        <w:rPr>
          <w:rFonts w:cstheme="minorHAnsi"/>
          <w:lang w:val="en-US"/>
        </w:rPr>
        <w:t>by default to</w:t>
      </w:r>
      <w:r w:rsidR="00860923" w:rsidRPr="00256AB7">
        <w:rPr>
          <w:rFonts w:cstheme="minorHAnsi"/>
          <w:lang w:val="en-US"/>
        </w:rPr>
        <w:t xml:space="preserve"> their norm accounts</w:t>
      </w:r>
      <w:r w:rsidR="00A803C9">
        <w:rPr>
          <w:rFonts w:cstheme="minorHAnsi"/>
          <w:lang w:val="en-US"/>
        </w:rPr>
        <w:t xml:space="preserve"> for</w:t>
      </w:r>
      <w:r w:rsidR="007521C4">
        <w:rPr>
          <w:rFonts w:cstheme="minorHAnsi"/>
          <w:lang w:val="en-US"/>
        </w:rPr>
        <w:t xml:space="preserve"> both </w:t>
      </w:r>
      <w:r w:rsidR="00860923" w:rsidRPr="006C0546">
        <w:rPr>
          <w:rFonts w:cstheme="minorHAnsi"/>
          <w:lang w:val="en-US"/>
        </w:rPr>
        <w:t>pedagogical development</w:t>
      </w:r>
      <w:r w:rsidR="007521C4">
        <w:rPr>
          <w:rFonts w:cstheme="minorHAnsi"/>
          <w:lang w:val="en-US"/>
        </w:rPr>
        <w:t xml:space="preserve"> and departmental activities</w:t>
      </w:r>
      <w:r w:rsidR="00A803C9">
        <w:rPr>
          <w:rFonts w:cstheme="minorHAnsi"/>
          <w:lang w:val="en-US"/>
        </w:rPr>
        <w:t xml:space="preserve">, in total 240 norms. </w:t>
      </w:r>
      <w:r w:rsidR="00A57828">
        <w:rPr>
          <w:rFonts w:cstheme="minorHAnsi"/>
          <w:lang w:val="en-US"/>
        </w:rPr>
        <w:t>Th</w:t>
      </w:r>
      <w:r w:rsidR="003C57B1">
        <w:rPr>
          <w:rFonts w:cstheme="minorHAnsi"/>
          <w:lang w:val="en-US"/>
        </w:rPr>
        <w:t xml:space="preserve">is is to </w:t>
      </w:r>
      <w:r w:rsidR="00B36F57">
        <w:rPr>
          <w:rFonts w:cstheme="minorHAnsi"/>
          <w:lang w:val="en-US"/>
        </w:rPr>
        <w:t>cover</w:t>
      </w:r>
      <w:r w:rsidR="003C57B1">
        <w:rPr>
          <w:rFonts w:cstheme="minorHAnsi"/>
          <w:lang w:val="en-US"/>
        </w:rPr>
        <w:t xml:space="preserve"> for the extra time spent on pedagogical </w:t>
      </w:r>
      <w:r w:rsidR="0073007B">
        <w:rPr>
          <w:rFonts w:cstheme="minorHAnsi"/>
          <w:lang w:val="en-US"/>
        </w:rPr>
        <w:t>development,</w:t>
      </w:r>
      <w:r w:rsidR="003C57B1">
        <w:rPr>
          <w:rFonts w:cstheme="minorHAnsi"/>
          <w:lang w:val="en-US"/>
        </w:rPr>
        <w:t xml:space="preserve"> incl. first-time teaching</w:t>
      </w:r>
      <w:r w:rsidR="00B36F57">
        <w:rPr>
          <w:rFonts w:cstheme="minorHAnsi"/>
          <w:lang w:val="en-US"/>
        </w:rPr>
        <w:t xml:space="preserve"> and </w:t>
      </w:r>
      <w:r w:rsidR="00BC51EB">
        <w:rPr>
          <w:rFonts w:cstheme="minorHAnsi"/>
          <w:lang w:val="en-US"/>
        </w:rPr>
        <w:t xml:space="preserve">miscellaneous </w:t>
      </w:r>
      <w:r w:rsidR="00F07FC9">
        <w:rPr>
          <w:rFonts w:cstheme="minorHAnsi"/>
          <w:lang w:val="en-US"/>
        </w:rPr>
        <w:t xml:space="preserve">department-related </w:t>
      </w:r>
      <w:r w:rsidR="00BC51EB">
        <w:rPr>
          <w:rFonts w:cstheme="minorHAnsi"/>
          <w:lang w:val="en-US"/>
        </w:rPr>
        <w:t>activities</w:t>
      </w:r>
      <w:r w:rsidR="003C57B1">
        <w:rPr>
          <w:rFonts w:cstheme="minorHAnsi"/>
          <w:lang w:val="en-US"/>
        </w:rPr>
        <w:t xml:space="preserve">. </w:t>
      </w:r>
    </w:p>
    <w:p w14:paraId="4A8E3C33" w14:textId="5C5D09A8" w:rsidR="00503685" w:rsidRDefault="003B248F" w:rsidP="001170A2">
      <w:pPr>
        <w:rPr>
          <w:lang w:val="en-US"/>
        </w:rPr>
      </w:pPr>
      <w:r w:rsidRPr="00BC522D">
        <w:rPr>
          <w:lang w:val="en-GB"/>
        </w:rPr>
        <w:t xml:space="preserve">An </w:t>
      </w:r>
      <w:r>
        <w:rPr>
          <w:lang w:val="en-GB"/>
        </w:rPr>
        <w:t>overall plan for the</w:t>
      </w:r>
      <w:r w:rsidR="000F3EFF">
        <w:rPr>
          <w:lang w:val="en-GB"/>
        </w:rPr>
        <w:t xml:space="preserve"> </w:t>
      </w:r>
      <w:r w:rsidR="00A803C9">
        <w:rPr>
          <w:lang w:val="en-GB"/>
        </w:rPr>
        <w:t>600</w:t>
      </w:r>
      <w:r w:rsidR="000F3EFF">
        <w:rPr>
          <w:lang w:val="en-GB"/>
        </w:rPr>
        <w:t xml:space="preserve"> hours of</w:t>
      </w:r>
      <w:r>
        <w:rPr>
          <w:lang w:val="en-GB"/>
        </w:rPr>
        <w:t xml:space="preserve"> work duties</w:t>
      </w:r>
      <w:r w:rsidRPr="00BC522D">
        <w:rPr>
          <w:lang w:val="en-GB"/>
        </w:rPr>
        <w:t xml:space="preserve"> must be included in </w:t>
      </w:r>
      <w:r w:rsidR="001F2546">
        <w:rPr>
          <w:lang w:val="en-GB"/>
        </w:rPr>
        <w:t>the</w:t>
      </w:r>
      <w:r w:rsidRPr="00BC522D">
        <w:rPr>
          <w:lang w:val="en-GB"/>
        </w:rPr>
        <w:t xml:space="preserve"> PhD plan.</w:t>
      </w:r>
      <w:r w:rsidR="003D51D8" w:rsidRPr="003D51D8">
        <w:rPr>
          <w:lang w:val="en-GB"/>
        </w:rPr>
        <w:t xml:space="preserve"> </w:t>
      </w:r>
      <w:r w:rsidR="003D51D8">
        <w:rPr>
          <w:lang w:val="en-GB"/>
        </w:rPr>
        <w:t xml:space="preserve">Teaching assignments and other specified department tasks are assigned by the Head of Section in dialogue with the </w:t>
      </w:r>
      <w:r w:rsidR="003D51D8" w:rsidRPr="00BC522D">
        <w:rPr>
          <w:lang w:val="en-GB"/>
        </w:rPr>
        <w:t>main Supervisor</w:t>
      </w:r>
      <w:r w:rsidR="003D51D8">
        <w:rPr>
          <w:lang w:val="en-GB"/>
        </w:rPr>
        <w:t xml:space="preserve"> and PhD student</w:t>
      </w:r>
      <w:r w:rsidRPr="00BC522D">
        <w:rPr>
          <w:lang w:val="en-GB"/>
        </w:rPr>
        <w:t xml:space="preserve">. </w:t>
      </w:r>
      <w:r w:rsidR="00404532">
        <w:rPr>
          <w:lang w:val="en-GB"/>
        </w:rPr>
        <w:t xml:space="preserve">After agreement with the supervisor, PhD students </w:t>
      </w:r>
      <w:r w:rsidR="00CC7A31" w:rsidRPr="00256AB7">
        <w:rPr>
          <w:lang w:val="en-GB"/>
        </w:rPr>
        <w:t>who</w:t>
      </w:r>
      <w:r w:rsidR="00CC7A31">
        <w:rPr>
          <w:lang w:val="en-GB"/>
        </w:rPr>
        <w:t>se position is</w:t>
      </w:r>
      <w:r w:rsidR="00CC7A31" w:rsidRPr="00256AB7">
        <w:rPr>
          <w:lang w:val="en-GB"/>
        </w:rPr>
        <w:t xml:space="preserve"> </w:t>
      </w:r>
      <w:r w:rsidR="00CC7A31">
        <w:rPr>
          <w:lang w:val="en-GB"/>
        </w:rPr>
        <w:t xml:space="preserve">fully </w:t>
      </w:r>
      <w:r w:rsidR="00CC7A31" w:rsidRPr="00256AB7">
        <w:rPr>
          <w:lang w:val="en-GB"/>
        </w:rPr>
        <w:t xml:space="preserve">externally funded </w:t>
      </w:r>
      <w:r w:rsidR="00404532">
        <w:rPr>
          <w:lang w:val="en-GB"/>
        </w:rPr>
        <w:t xml:space="preserve">can be assigned concrete project-related tasks </w:t>
      </w:r>
      <w:r w:rsidR="009F77EA">
        <w:rPr>
          <w:lang w:val="en-GB"/>
        </w:rPr>
        <w:t>up to</w:t>
      </w:r>
      <w:r w:rsidR="00404532">
        <w:rPr>
          <w:lang w:val="en-GB"/>
        </w:rPr>
        <w:t xml:space="preserve"> 200 hours of work.</w:t>
      </w:r>
      <w:r w:rsidR="00CC7A31">
        <w:rPr>
          <w:lang w:val="en-GB"/>
        </w:rPr>
        <w:t xml:space="preserve"> </w:t>
      </w:r>
      <w:r w:rsidR="00503685" w:rsidRPr="00F265AC">
        <w:rPr>
          <w:lang w:val="en-US"/>
        </w:rPr>
        <w:t xml:space="preserve">The allocation of the amount of norm hours to </w:t>
      </w:r>
      <w:r w:rsidR="00264CFD">
        <w:rPr>
          <w:lang w:val="en-US"/>
        </w:rPr>
        <w:t>t</w:t>
      </w:r>
      <w:r w:rsidR="00264CFD" w:rsidRPr="4DDB9CA0">
        <w:rPr>
          <w:lang w:val="en-US"/>
        </w:rPr>
        <w:t>eaching</w:t>
      </w:r>
      <w:r w:rsidR="00264CFD">
        <w:rPr>
          <w:lang w:val="en-US"/>
        </w:rPr>
        <w:t>,</w:t>
      </w:r>
      <w:r w:rsidR="00264CFD" w:rsidRPr="4DDB9CA0">
        <w:rPr>
          <w:lang w:val="en-US"/>
        </w:rPr>
        <w:t xml:space="preserve"> task</w:t>
      </w:r>
      <w:r w:rsidR="00264CFD">
        <w:rPr>
          <w:lang w:val="en-US"/>
        </w:rPr>
        <w:t>s</w:t>
      </w:r>
      <w:r w:rsidR="00264CFD" w:rsidRPr="4DDB9CA0">
        <w:rPr>
          <w:lang w:val="en-US"/>
        </w:rPr>
        <w:t xml:space="preserve"> related to third party funded projects </w:t>
      </w:r>
      <w:r w:rsidR="00264CFD">
        <w:rPr>
          <w:lang w:val="en-US"/>
        </w:rPr>
        <w:t>and other specified department tasks</w:t>
      </w:r>
      <w:r w:rsidR="00685872">
        <w:rPr>
          <w:lang w:val="en-US"/>
        </w:rPr>
        <w:t xml:space="preserve"> </w:t>
      </w:r>
      <w:r w:rsidR="00503685" w:rsidRPr="00F265AC">
        <w:rPr>
          <w:lang w:val="en-US"/>
        </w:rPr>
        <w:t xml:space="preserve">shall be approved before the finalizing of the Phd plan by the Vice-head of department </w:t>
      </w:r>
      <w:r w:rsidR="006A3FB1">
        <w:rPr>
          <w:lang w:val="en-US"/>
        </w:rPr>
        <w:lastRenderedPageBreak/>
        <w:t>before it is finally approved by</w:t>
      </w:r>
      <w:r w:rsidR="00503685" w:rsidRPr="00F265AC">
        <w:rPr>
          <w:lang w:val="en-US"/>
        </w:rPr>
        <w:t xml:space="preserve"> Head of</w:t>
      </w:r>
      <w:r w:rsidR="006A3FB1">
        <w:rPr>
          <w:lang w:val="en-US"/>
        </w:rPr>
        <w:t xml:space="preserve"> Department</w:t>
      </w:r>
      <w:r w:rsidR="00503685" w:rsidRPr="00F265AC">
        <w:rPr>
          <w:lang w:val="en-US"/>
        </w:rPr>
        <w:t xml:space="preserve">. A smaller </w:t>
      </w:r>
      <w:r w:rsidR="00712F1D" w:rsidRPr="00F265AC">
        <w:rPr>
          <w:lang w:val="en-US"/>
        </w:rPr>
        <w:t xml:space="preserve">number </w:t>
      </w:r>
      <w:r w:rsidR="00503685" w:rsidRPr="00F265AC">
        <w:rPr>
          <w:lang w:val="en-US"/>
        </w:rPr>
        <w:t>of hours (</w:t>
      </w:r>
      <w:r w:rsidR="00A803C9">
        <w:rPr>
          <w:lang w:val="en-US"/>
        </w:rPr>
        <w:t>up to</w:t>
      </w:r>
      <w:r w:rsidR="00503685" w:rsidRPr="00F265AC">
        <w:rPr>
          <w:lang w:val="en-US"/>
        </w:rPr>
        <w:t xml:space="preserve"> 100 hours) may be kept open in the PhD-plan to secur</w:t>
      </w:r>
      <w:r w:rsidR="00EB34F3" w:rsidRPr="00F265AC">
        <w:rPr>
          <w:lang w:val="en-US"/>
        </w:rPr>
        <w:t>e</w:t>
      </w:r>
      <w:r w:rsidR="00503685" w:rsidRPr="00F265AC">
        <w:rPr>
          <w:lang w:val="en-US"/>
        </w:rPr>
        <w:t xml:space="preserve"> flexibility for the PhD student and the Department </w:t>
      </w:r>
      <w:r w:rsidR="00CB6D24" w:rsidRPr="00F265AC">
        <w:rPr>
          <w:lang w:val="en-US"/>
        </w:rPr>
        <w:t>regarding</w:t>
      </w:r>
      <w:r w:rsidR="00503685" w:rsidRPr="00F265AC">
        <w:rPr>
          <w:lang w:val="en-US"/>
        </w:rPr>
        <w:t xml:space="preserve"> new teaching or supervision duties or other departmental assignments.</w:t>
      </w:r>
      <w:r w:rsidR="00B0584D">
        <w:rPr>
          <w:lang w:val="en-US"/>
        </w:rPr>
        <w:t xml:space="preserve"> These tasks will be agreed on with</w:t>
      </w:r>
      <w:r w:rsidR="00161C01">
        <w:rPr>
          <w:lang w:val="en-US"/>
        </w:rPr>
        <w:t xml:space="preserve"> the</w:t>
      </w:r>
      <w:r w:rsidR="00B0584D">
        <w:rPr>
          <w:lang w:val="en-US"/>
        </w:rPr>
        <w:t xml:space="preserve"> </w:t>
      </w:r>
      <w:r w:rsidR="005C1D7A">
        <w:rPr>
          <w:lang w:val="en-US"/>
        </w:rPr>
        <w:t xml:space="preserve">head of section </w:t>
      </w:r>
      <w:r w:rsidR="00CB6D24">
        <w:rPr>
          <w:lang w:val="en-US"/>
        </w:rPr>
        <w:t>and coordinated with the</w:t>
      </w:r>
      <w:r w:rsidR="00161C01">
        <w:rPr>
          <w:lang w:val="en-US"/>
        </w:rPr>
        <w:t xml:space="preserve"> supervisor </w:t>
      </w:r>
      <w:r w:rsidR="00B0584D">
        <w:rPr>
          <w:lang w:val="en-US"/>
        </w:rPr>
        <w:t>throughout the employment period.</w:t>
      </w:r>
      <w:r w:rsidR="00B43135">
        <w:rPr>
          <w:lang w:val="en-US"/>
        </w:rPr>
        <w:t xml:space="preserve"> </w:t>
      </w:r>
      <w:r w:rsidR="00E267B2">
        <w:rPr>
          <w:lang w:val="en-US"/>
        </w:rPr>
        <w:t xml:space="preserve">The same applies to </w:t>
      </w:r>
      <w:r w:rsidR="00DF7DE9">
        <w:rPr>
          <w:lang w:val="en-US"/>
        </w:rPr>
        <w:t>d</w:t>
      </w:r>
      <w:r w:rsidR="00E267B2">
        <w:rPr>
          <w:lang w:val="en-US"/>
        </w:rPr>
        <w:t xml:space="preserve">eviations from the initial PhD plan </w:t>
      </w:r>
      <w:r w:rsidR="00DF7DE9">
        <w:rPr>
          <w:lang w:val="en-US"/>
        </w:rPr>
        <w:t xml:space="preserve">due to changes in the </w:t>
      </w:r>
      <w:r w:rsidR="000C13D9">
        <w:rPr>
          <w:lang w:val="en-US"/>
        </w:rPr>
        <w:t xml:space="preserve">teaching plan or PhD project. </w:t>
      </w:r>
    </w:p>
    <w:p w14:paraId="6CFD90E7" w14:textId="77777777" w:rsidR="00104413" w:rsidRDefault="00104413" w:rsidP="001170A2">
      <w:pPr>
        <w:rPr>
          <w:lang w:val="en-US"/>
        </w:rPr>
      </w:pPr>
    </w:p>
    <w:p w14:paraId="512B20C3" w14:textId="6097474E" w:rsidR="00C82FCF" w:rsidRPr="00C82FCF" w:rsidRDefault="00021106" w:rsidP="00C82FCF">
      <w:pPr>
        <w:pStyle w:val="Heading2"/>
        <w:rPr>
          <w:lang w:val="en-US"/>
        </w:rPr>
      </w:pPr>
      <w:r>
        <w:rPr>
          <w:lang w:val="en-US"/>
        </w:rPr>
        <w:t>Guidelines for planning teaching and supervision in the PhD pla</w:t>
      </w:r>
      <w:r w:rsidR="00C82FCF">
        <w:rPr>
          <w:lang w:val="en-US"/>
        </w:rPr>
        <w:t>n</w:t>
      </w:r>
    </w:p>
    <w:p w14:paraId="6BCE7DAF" w14:textId="77777777" w:rsidR="00027DEE" w:rsidRDefault="00027DEE" w:rsidP="00021106">
      <w:pPr>
        <w:rPr>
          <w:lang w:val="en-US"/>
        </w:rPr>
      </w:pPr>
    </w:p>
    <w:p w14:paraId="3578428A" w14:textId="116E17C3" w:rsidR="00021106" w:rsidRDefault="00C82FCF" w:rsidP="00021106">
      <w:pPr>
        <w:rPr>
          <w:lang w:val="en-US"/>
        </w:rPr>
      </w:pPr>
      <w:r>
        <w:rPr>
          <w:lang w:val="en-US"/>
        </w:rPr>
        <w:t xml:space="preserve">When </w:t>
      </w:r>
      <w:r w:rsidR="00027DEE">
        <w:rPr>
          <w:lang w:val="en-US"/>
        </w:rPr>
        <w:t>planning teaching and supervision for a PhD student</w:t>
      </w:r>
      <w:r w:rsidR="00E40A3A">
        <w:rPr>
          <w:lang w:val="en-US"/>
        </w:rPr>
        <w:t xml:space="preserve">, </w:t>
      </w:r>
      <w:r w:rsidR="00027DEE">
        <w:rPr>
          <w:lang w:val="en-US"/>
        </w:rPr>
        <w:t xml:space="preserve">the following </w:t>
      </w:r>
      <w:r w:rsidR="00E37234">
        <w:rPr>
          <w:lang w:val="en-US"/>
        </w:rPr>
        <w:t>should be</w:t>
      </w:r>
      <w:r w:rsidR="00027DEE">
        <w:rPr>
          <w:lang w:val="en-US"/>
        </w:rPr>
        <w:t xml:space="preserve"> taken into consideration</w:t>
      </w:r>
      <w:r w:rsidR="00B0594F">
        <w:rPr>
          <w:lang w:val="en-US"/>
        </w:rPr>
        <w:t xml:space="preserve"> (not prioritized in order)</w:t>
      </w:r>
      <w:r w:rsidR="00027DEE">
        <w:rPr>
          <w:lang w:val="en-US"/>
        </w:rPr>
        <w:t xml:space="preserve">: </w:t>
      </w:r>
    </w:p>
    <w:p w14:paraId="158FEAC1" w14:textId="6A71DC0E" w:rsidR="00027DEE" w:rsidRDefault="00027DEE" w:rsidP="00027DEE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Teaching and supervision responsibilities </w:t>
      </w:r>
      <w:r w:rsidR="007A2AC3">
        <w:rPr>
          <w:lang w:val="en-US"/>
        </w:rPr>
        <w:t xml:space="preserve">are aimed to </w:t>
      </w:r>
      <w:r>
        <w:rPr>
          <w:lang w:val="en-US"/>
        </w:rPr>
        <w:t>fall within the PhDs research discipline</w:t>
      </w:r>
      <w:r w:rsidR="00B0594F">
        <w:rPr>
          <w:lang w:val="en-US"/>
        </w:rPr>
        <w:t>.</w:t>
      </w:r>
    </w:p>
    <w:p w14:paraId="5C29F0FC" w14:textId="703E2E43" w:rsidR="00B0594F" w:rsidRDefault="00B0594F" w:rsidP="00027DEE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The placement of teaching and supervision responsibilities should </w:t>
      </w:r>
      <w:r w:rsidR="002A06AD">
        <w:rPr>
          <w:lang w:val="en-US"/>
        </w:rPr>
        <w:t>be coordinated with other</w:t>
      </w:r>
      <w:r>
        <w:rPr>
          <w:lang w:val="en-US"/>
        </w:rPr>
        <w:t xml:space="preserve"> elements of the PhD plan</w:t>
      </w:r>
      <w:r w:rsidR="003758B1">
        <w:rPr>
          <w:lang w:val="en-US"/>
        </w:rPr>
        <w:t>,</w:t>
      </w:r>
      <w:r>
        <w:rPr>
          <w:lang w:val="en-US"/>
        </w:rPr>
        <w:t xml:space="preserve"> such as change of environment and the final semester of the PhD.</w:t>
      </w:r>
    </w:p>
    <w:p w14:paraId="4CD884C8" w14:textId="0C01C604" w:rsidR="00027DEE" w:rsidRDefault="003745CE" w:rsidP="00027DEE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The plan should s</w:t>
      </w:r>
      <w:r w:rsidR="00027DEE">
        <w:rPr>
          <w:lang w:val="en-US"/>
        </w:rPr>
        <w:t xml:space="preserve">trive to ensure </w:t>
      </w:r>
      <w:r w:rsidR="00B0594F">
        <w:rPr>
          <w:lang w:val="en-US"/>
        </w:rPr>
        <w:t>PhD students gain experience with different types of</w:t>
      </w:r>
      <w:r w:rsidR="00027DEE">
        <w:rPr>
          <w:lang w:val="en-US"/>
        </w:rPr>
        <w:t xml:space="preserve"> </w:t>
      </w:r>
      <w:r w:rsidR="00B0594F">
        <w:rPr>
          <w:lang w:val="en-US"/>
        </w:rPr>
        <w:t xml:space="preserve">teaching and supervision </w:t>
      </w:r>
      <w:r w:rsidR="007518C0">
        <w:rPr>
          <w:lang w:val="en-US"/>
        </w:rPr>
        <w:t>to develop a varied teaching portfolio</w:t>
      </w:r>
    </w:p>
    <w:p w14:paraId="25E032E2" w14:textId="77777777" w:rsidR="00270EBF" w:rsidRPr="00270EBF" w:rsidRDefault="00270EBF" w:rsidP="00270EBF">
      <w:pPr>
        <w:pStyle w:val="ListParagraph"/>
        <w:numPr>
          <w:ilvl w:val="0"/>
          <w:numId w:val="3"/>
        </w:numPr>
        <w:rPr>
          <w:lang w:val="en-US"/>
        </w:rPr>
      </w:pPr>
      <w:r w:rsidRPr="00270EBF">
        <w:rPr>
          <w:lang w:val="en-US"/>
        </w:rPr>
        <w:t>PhD students are generally not permitted to supervise master’s theses and professional mater’s theses.</w:t>
      </w:r>
    </w:p>
    <w:p w14:paraId="3F9F7C2F" w14:textId="5591F001" w:rsidR="00027DEE" w:rsidRPr="00027DEE" w:rsidRDefault="00B0594F" w:rsidP="006A3FB1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Encourage repeat teaching of </w:t>
      </w:r>
      <w:r w:rsidR="007518C0">
        <w:rPr>
          <w:lang w:val="en-US"/>
        </w:rPr>
        <w:t xml:space="preserve">the same </w:t>
      </w:r>
      <w:r>
        <w:rPr>
          <w:lang w:val="en-US"/>
        </w:rPr>
        <w:t>teaching</w:t>
      </w:r>
      <w:r w:rsidR="007518C0">
        <w:rPr>
          <w:lang w:val="en-US"/>
        </w:rPr>
        <w:t xml:space="preserve"> </w:t>
      </w:r>
      <w:r>
        <w:rPr>
          <w:lang w:val="en-US"/>
        </w:rPr>
        <w:t>element</w:t>
      </w:r>
      <w:r w:rsidR="007518C0">
        <w:rPr>
          <w:lang w:val="en-US"/>
        </w:rPr>
        <w:t xml:space="preserve"> to increase experience within the same subject and reduce workload</w:t>
      </w:r>
      <w:r w:rsidR="002720D6">
        <w:rPr>
          <w:lang w:val="en-US"/>
        </w:rPr>
        <w:t>.</w:t>
      </w:r>
      <w:r>
        <w:rPr>
          <w:lang w:val="en-US"/>
        </w:rPr>
        <w:t xml:space="preserve"> </w:t>
      </w:r>
    </w:p>
    <w:p w14:paraId="1138A6F8" w14:textId="197C9CA8" w:rsidR="00D4693F" w:rsidRDefault="00D4693F">
      <w:pPr>
        <w:rPr>
          <w:lang w:val="en-US"/>
        </w:rPr>
      </w:pPr>
      <w:r>
        <w:rPr>
          <w:lang w:val="en-US"/>
        </w:rPr>
        <w:br w:type="page"/>
      </w:r>
    </w:p>
    <w:p w14:paraId="5C928D7B" w14:textId="77777777" w:rsidR="00104413" w:rsidRPr="00104413" w:rsidRDefault="00104413" w:rsidP="00104413">
      <w:pPr>
        <w:rPr>
          <w:lang w:val="en-US"/>
        </w:rPr>
      </w:pPr>
    </w:p>
    <w:p w14:paraId="605BF7B9" w14:textId="053B9628" w:rsidR="003C004D" w:rsidRDefault="003C004D" w:rsidP="00685565">
      <w:pPr>
        <w:pStyle w:val="Heading2"/>
        <w:rPr>
          <w:lang w:val="en-US"/>
        </w:rPr>
      </w:pPr>
      <w:r>
        <w:rPr>
          <w:lang w:val="en-US"/>
        </w:rPr>
        <w:t xml:space="preserve">PhD students employed prior to Feb. 1. 2024 </w:t>
      </w:r>
    </w:p>
    <w:p w14:paraId="6763E9E0" w14:textId="0B57F2C9" w:rsidR="008A3E1F" w:rsidRDefault="008A3E1F" w:rsidP="008A3E1F">
      <w:pPr>
        <w:rPr>
          <w:lang w:val="en-US"/>
        </w:rPr>
      </w:pPr>
    </w:p>
    <w:p w14:paraId="690A098D" w14:textId="44A775ED" w:rsidR="008A3E1F" w:rsidRDefault="008A3E1F" w:rsidP="008A3E1F">
      <w:pPr>
        <w:rPr>
          <w:lang w:val="en-US"/>
        </w:rPr>
      </w:pPr>
      <w:r w:rsidRPr="008A3E1F">
        <w:rPr>
          <w:lang w:val="en-US"/>
        </w:rPr>
        <w:t>For PhD students employed prior to Feb1, 2024, the work duties are allocated in the norm system in the following way:</w:t>
      </w:r>
    </w:p>
    <w:p w14:paraId="036049CE" w14:textId="77777777" w:rsidR="003C004D" w:rsidRPr="005E6400" w:rsidRDefault="003C004D" w:rsidP="003C004D">
      <w:pPr>
        <w:rPr>
          <w:lang w:val="en-US"/>
        </w:rPr>
      </w:pPr>
      <w:r w:rsidRPr="005E6400">
        <w:rPr>
          <w:lang w:val="en-US"/>
        </w:rPr>
        <w:t>The work duties will be registered in the Departments n</w:t>
      </w:r>
      <w:r>
        <w:rPr>
          <w:lang w:val="en-US"/>
        </w:rPr>
        <w:t>o</w:t>
      </w:r>
      <w:r w:rsidRPr="005E6400">
        <w:rPr>
          <w:lang w:val="en-US"/>
        </w:rPr>
        <w:t>rm</w:t>
      </w:r>
      <w:r>
        <w:rPr>
          <w:lang w:val="en-US"/>
        </w:rPr>
        <w:t xml:space="preserve"> </w:t>
      </w:r>
      <w:r w:rsidRPr="005E6400">
        <w:rPr>
          <w:lang w:val="en-US"/>
        </w:rPr>
        <w:t xml:space="preserve">system </w:t>
      </w:r>
      <w:r>
        <w:rPr>
          <w:lang w:val="en-US"/>
        </w:rPr>
        <w:t>in the following way</w:t>
      </w:r>
      <w:r w:rsidRPr="005E6400">
        <w:rPr>
          <w:lang w:val="en-U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3C004D" w14:paraId="108EB780" w14:textId="77777777" w:rsidTr="00DF08BD">
        <w:trPr>
          <w:trHeight w:val="537"/>
        </w:trPr>
        <w:tc>
          <w:tcPr>
            <w:tcW w:w="4814" w:type="dxa"/>
          </w:tcPr>
          <w:p w14:paraId="1FFC1404" w14:textId="77777777" w:rsidR="003C004D" w:rsidRPr="00503685" w:rsidRDefault="003C004D" w:rsidP="00DF08BD">
            <w:pPr>
              <w:rPr>
                <w:b/>
                <w:bCs/>
                <w:lang w:val="en-US"/>
              </w:rPr>
            </w:pPr>
            <w:r w:rsidRPr="00503685">
              <w:rPr>
                <w:b/>
                <w:bCs/>
                <w:lang w:val="en-US"/>
              </w:rPr>
              <w:t>Norm</w:t>
            </w:r>
            <w:r>
              <w:rPr>
                <w:b/>
                <w:bCs/>
                <w:lang w:val="en-US"/>
              </w:rPr>
              <w:t xml:space="preserve"> </w:t>
            </w:r>
            <w:r w:rsidRPr="00503685">
              <w:rPr>
                <w:b/>
                <w:bCs/>
                <w:lang w:val="en-US"/>
              </w:rPr>
              <w:t>hours for 3 years in total</w:t>
            </w:r>
            <w:r>
              <w:rPr>
                <w:b/>
                <w:bCs/>
                <w:lang w:val="en-US"/>
              </w:rPr>
              <w:t>/per semester</w:t>
            </w:r>
          </w:p>
        </w:tc>
        <w:tc>
          <w:tcPr>
            <w:tcW w:w="4814" w:type="dxa"/>
          </w:tcPr>
          <w:p w14:paraId="2498AF6D" w14:textId="77777777" w:rsidR="003C004D" w:rsidRPr="00503685" w:rsidRDefault="003C004D" w:rsidP="00DF08BD">
            <w:pPr>
              <w:rPr>
                <w:b/>
                <w:bCs/>
              </w:rPr>
            </w:pPr>
            <w:proofErr w:type="spellStart"/>
            <w:r w:rsidRPr="00503685">
              <w:rPr>
                <w:b/>
                <w:bCs/>
              </w:rPr>
              <w:t>Duties</w:t>
            </w:r>
            <w:proofErr w:type="spellEnd"/>
          </w:p>
        </w:tc>
      </w:tr>
      <w:tr w:rsidR="003C004D" w:rsidRPr="002A3B78" w14:paraId="51A8CA2F" w14:textId="77777777" w:rsidTr="00DF08BD">
        <w:trPr>
          <w:trHeight w:val="537"/>
        </w:trPr>
        <w:tc>
          <w:tcPr>
            <w:tcW w:w="4814" w:type="dxa"/>
          </w:tcPr>
          <w:p w14:paraId="4E22673E" w14:textId="77777777" w:rsidR="003C004D" w:rsidRDefault="003C004D" w:rsidP="00DF08BD">
            <w:r>
              <w:t>600/100</w:t>
            </w:r>
          </w:p>
        </w:tc>
        <w:tc>
          <w:tcPr>
            <w:tcW w:w="4814" w:type="dxa"/>
          </w:tcPr>
          <w:p w14:paraId="18DF82C7" w14:textId="77777777" w:rsidR="003C004D" w:rsidRPr="00860923" w:rsidRDefault="003C004D" w:rsidP="00DF08BD">
            <w:pPr>
              <w:rPr>
                <w:lang w:val="en-US"/>
              </w:rPr>
            </w:pPr>
            <w:r w:rsidRPr="00860923">
              <w:rPr>
                <w:lang w:val="en-US"/>
              </w:rPr>
              <w:t>Teaching and Departmental assignments</w:t>
            </w:r>
            <w:r>
              <w:rPr>
                <w:lang w:val="en-US"/>
              </w:rPr>
              <w:t xml:space="preserve"> (individually registered in the norm system)</w:t>
            </w:r>
            <w:r w:rsidRPr="00860923">
              <w:rPr>
                <w:lang w:val="en-US"/>
              </w:rPr>
              <w:t xml:space="preserve"> *</w:t>
            </w:r>
          </w:p>
        </w:tc>
      </w:tr>
      <w:tr w:rsidR="003C004D" w:rsidRPr="002A3B78" w14:paraId="5A196EA2" w14:textId="77777777" w:rsidTr="00DF08BD">
        <w:trPr>
          <w:trHeight w:val="537"/>
        </w:trPr>
        <w:tc>
          <w:tcPr>
            <w:tcW w:w="4814" w:type="dxa"/>
          </w:tcPr>
          <w:p w14:paraId="53614843" w14:textId="77777777" w:rsidR="003C004D" w:rsidRPr="00F265AC" w:rsidRDefault="003C004D" w:rsidP="00DF08BD">
            <w:pPr>
              <w:rPr>
                <w:lang w:val="en-US"/>
              </w:rPr>
            </w:pPr>
            <w:r>
              <w:rPr>
                <w:lang w:val="en-US"/>
              </w:rPr>
              <w:t>120/20</w:t>
            </w:r>
          </w:p>
        </w:tc>
        <w:tc>
          <w:tcPr>
            <w:tcW w:w="4814" w:type="dxa"/>
          </w:tcPr>
          <w:p w14:paraId="561E0E5A" w14:textId="77777777" w:rsidR="003C004D" w:rsidRPr="00860923" w:rsidRDefault="003C004D" w:rsidP="00DF08BD">
            <w:pPr>
              <w:rPr>
                <w:lang w:val="en-US"/>
              </w:rPr>
            </w:pPr>
            <w:r>
              <w:rPr>
                <w:lang w:val="en-US"/>
              </w:rPr>
              <w:t>Other departmental activities (automatically registered in the norm system)</w:t>
            </w:r>
          </w:p>
        </w:tc>
      </w:tr>
      <w:tr w:rsidR="003C004D" w:rsidRPr="002A3B78" w14:paraId="32BB27F4" w14:textId="77777777" w:rsidTr="00DF08BD">
        <w:trPr>
          <w:trHeight w:val="537"/>
        </w:trPr>
        <w:tc>
          <w:tcPr>
            <w:tcW w:w="4814" w:type="dxa"/>
          </w:tcPr>
          <w:p w14:paraId="1CB611D3" w14:textId="77777777" w:rsidR="003C004D" w:rsidRDefault="003C004D" w:rsidP="00DF08BD">
            <w:r>
              <w:t>120/20</w:t>
            </w:r>
          </w:p>
        </w:tc>
        <w:tc>
          <w:tcPr>
            <w:tcW w:w="4814" w:type="dxa"/>
          </w:tcPr>
          <w:p w14:paraId="0FD67E62" w14:textId="77777777" w:rsidR="003C004D" w:rsidRPr="00860923" w:rsidRDefault="003C004D" w:rsidP="00DF08BD">
            <w:pPr>
              <w:rPr>
                <w:lang w:val="en-US"/>
              </w:rPr>
            </w:pPr>
            <w:r w:rsidRPr="006C0546">
              <w:rPr>
                <w:lang w:val="en-US"/>
              </w:rPr>
              <w:t>Academic and pedagogical development (</w:t>
            </w:r>
            <w:r>
              <w:rPr>
                <w:lang w:val="en-US"/>
              </w:rPr>
              <w:t xml:space="preserve">automatically </w:t>
            </w:r>
            <w:r w:rsidRPr="006C0546">
              <w:rPr>
                <w:lang w:val="en-US"/>
              </w:rPr>
              <w:t>registered in the norm system)</w:t>
            </w:r>
          </w:p>
        </w:tc>
      </w:tr>
    </w:tbl>
    <w:p w14:paraId="50F897E0" w14:textId="77777777" w:rsidR="003C004D" w:rsidRDefault="003C004D" w:rsidP="003C004D">
      <w:pPr>
        <w:rPr>
          <w:sz w:val="18"/>
          <w:szCs w:val="18"/>
          <w:lang w:val="en-US"/>
        </w:rPr>
      </w:pPr>
      <w:r w:rsidRPr="00860923">
        <w:rPr>
          <w:sz w:val="18"/>
          <w:szCs w:val="18"/>
          <w:lang w:val="en-US"/>
        </w:rPr>
        <w:t xml:space="preserve">* </w:t>
      </w:r>
      <w:r>
        <w:rPr>
          <w:sz w:val="18"/>
          <w:szCs w:val="18"/>
          <w:lang w:val="en-US"/>
        </w:rPr>
        <w:t>Teaching activities should be a</w:t>
      </w:r>
      <w:r w:rsidRPr="00860923">
        <w:rPr>
          <w:sz w:val="18"/>
          <w:szCs w:val="18"/>
          <w:lang w:val="en-US"/>
        </w:rPr>
        <w:t xml:space="preserve"> minimum of 300 hours, while the remaining 300 hours may be allocated to teaching</w:t>
      </w:r>
      <w:r>
        <w:rPr>
          <w:sz w:val="18"/>
          <w:szCs w:val="18"/>
          <w:lang w:val="en-US"/>
        </w:rPr>
        <w:t xml:space="preserve"> or</w:t>
      </w:r>
      <w:r w:rsidRPr="00860923">
        <w:rPr>
          <w:sz w:val="18"/>
          <w:szCs w:val="18"/>
          <w:lang w:val="en-US"/>
        </w:rPr>
        <w:t xml:space="preserve"> other department-related tasks (e</w:t>
      </w:r>
      <w:r>
        <w:rPr>
          <w:sz w:val="18"/>
          <w:szCs w:val="18"/>
          <w:lang w:val="en-US"/>
        </w:rPr>
        <w:t>.</w:t>
      </w:r>
      <w:r w:rsidRPr="00860923">
        <w:rPr>
          <w:sz w:val="18"/>
          <w:szCs w:val="18"/>
          <w:lang w:val="en-US"/>
        </w:rPr>
        <w:t>g</w:t>
      </w:r>
      <w:r>
        <w:rPr>
          <w:sz w:val="18"/>
          <w:szCs w:val="18"/>
          <w:lang w:val="en-US"/>
        </w:rPr>
        <w:t>.,</w:t>
      </w:r>
      <w:r w:rsidRPr="00860923">
        <w:rPr>
          <w:sz w:val="18"/>
          <w:szCs w:val="18"/>
          <w:lang w:val="en-US"/>
        </w:rPr>
        <w:t xml:space="preserve"> help with coordination and events in the PhD group or at the department, help with specific projects, help with administrative or dissemination tasks at the department)</w:t>
      </w:r>
      <w:r>
        <w:rPr>
          <w:sz w:val="18"/>
          <w:szCs w:val="18"/>
          <w:lang w:val="en-US"/>
        </w:rPr>
        <w:t xml:space="preserve">. </w:t>
      </w:r>
    </w:p>
    <w:p w14:paraId="6BE75D37" w14:textId="77777777" w:rsidR="003C004D" w:rsidRDefault="003C004D" w:rsidP="003C004D">
      <w:pPr>
        <w:rPr>
          <w:sz w:val="18"/>
          <w:szCs w:val="18"/>
          <w:lang w:val="en-US"/>
        </w:rPr>
      </w:pPr>
    </w:p>
    <w:p w14:paraId="25EFF5F4" w14:textId="61E38062" w:rsidR="003C004D" w:rsidRPr="003665CE" w:rsidRDefault="003C004D" w:rsidP="003C004D">
      <w:pPr>
        <w:rPr>
          <w:lang w:val="en-US"/>
        </w:rPr>
      </w:pPr>
      <w:r w:rsidRPr="008C7D1F">
        <w:rPr>
          <w:rFonts w:cstheme="minorHAnsi"/>
          <w:lang w:val="en-US"/>
        </w:rPr>
        <w:t>Norm hours for teac</w:t>
      </w:r>
      <w:r w:rsidRPr="006C0546">
        <w:rPr>
          <w:rFonts w:cstheme="minorHAnsi"/>
          <w:lang w:val="en-US"/>
        </w:rPr>
        <w:t xml:space="preserve">hing activities by PhD students are calculated in the same way as for other employees at the department </w:t>
      </w:r>
      <w:r w:rsidR="007E74B7" w:rsidRPr="006C0546">
        <w:rPr>
          <w:rFonts w:cstheme="minorHAnsi"/>
          <w:lang w:val="en-US"/>
        </w:rPr>
        <w:t>(</w:t>
      </w:r>
      <w:r w:rsidR="007E74B7">
        <w:rPr>
          <w:rFonts w:cstheme="minorHAnsi"/>
          <w:lang w:val="en-US"/>
        </w:rPr>
        <w:t>s</w:t>
      </w:r>
      <w:r w:rsidR="007E74B7" w:rsidRPr="006C0546">
        <w:rPr>
          <w:rFonts w:cstheme="minorHAnsi"/>
          <w:lang w:val="en-US"/>
        </w:rPr>
        <w:t>ee</w:t>
      </w:r>
      <w:r w:rsidR="002A3B78">
        <w:rPr>
          <w:rFonts w:cstheme="minorHAnsi"/>
          <w:lang w:val="en-US"/>
        </w:rPr>
        <w:t xml:space="preserve"> </w:t>
      </w:r>
      <w:hyperlink r:id="rId12" w:history="1">
        <w:r w:rsidR="002A3B78" w:rsidRPr="008C7D1F">
          <w:rPr>
            <w:rStyle w:val="Hyperlink"/>
            <w:rFonts w:cstheme="minorHAnsi"/>
            <w:b/>
            <w:bCs/>
            <w:lang w:val="en-GB"/>
          </w:rPr>
          <w:t>Norm system at the department of Political Science and Public Management</w:t>
        </w:r>
      </w:hyperlink>
      <w:r w:rsidR="007E74B7" w:rsidRPr="008C7D1F">
        <w:rPr>
          <w:rStyle w:val="FootnoteReference"/>
          <w:rFonts w:cstheme="minorHAnsi"/>
          <w:b/>
          <w:bCs/>
          <w:lang w:val="en-GB"/>
        </w:rPr>
        <w:footnoteReference w:id="4"/>
      </w:r>
      <w:r w:rsidR="007E74B7" w:rsidRPr="008C7D1F">
        <w:rPr>
          <w:rStyle w:val="Hyperlink"/>
          <w:rFonts w:cstheme="minorHAnsi"/>
          <w:b/>
          <w:bCs/>
          <w:lang w:val="en-GB"/>
        </w:rPr>
        <w:t>)</w:t>
      </w:r>
      <w:r w:rsidR="007E74B7">
        <w:rPr>
          <w:rStyle w:val="Hyperlink"/>
          <w:rFonts w:cstheme="minorHAnsi"/>
          <w:b/>
          <w:bCs/>
          <w:lang w:val="en-GB"/>
        </w:rPr>
        <w:t>.</w:t>
      </w:r>
      <w:r w:rsidR="007E74B7" w:rsidRPr="008C7D1F">
        <w:rPr>
          <w:rFonts w:cstheme="minorHAnsi"/>
          <w:lang w:val="en-US"/>
        </w:rPr>
        <w:t xml:space="preserve"> </w:t>
      </w:r>
      <w:r w:rsidRPr="00256AB7">
        <w:rPr>
          <w:rFonts w:cstheme="minorHAnsi"/>
          <w:lang w:val="en-US"/>
        </w:rPr>
        <w:t>PhD students will automatically be allocated 240 hours in their norm accounts</w:t>
      </w:r>
      <w:r>
        <w:rPr>
          <w:rFonts w:cstheme="minorHAnsi"/>
          <w:lang w:val="en-US"/>
        </w:rPr>
        <w:t xml:space="preserve"> for other departmental activities, </w:t>
      </w:r>
      <w:r w:rsidRPr="006C0546">
        <w:rPr>
          <w:rFonts w:cstheme="minorHAnsi"/>
          <w:lang w:val="en-US"/>
        </w:rPr>
        <w:t>pedagogical development and first-time lecturer (hence, they will not receive additional hours in the norm system</w:t>
      </w:r>
      <w:r w:rsidRPr="003665CE">
        <w:rPr>
          <w:lang w:val="en-US"/>
        </w:rPr>
        <w:t xml:space="preserve"> for pedagogical development and first-time lecturer).</w:t>
      </w:r>
    </w:p>
    <w:p w14:paraId="01BB4592" w14:textId="77777777" w:rsidR="003C004D" w:rsidRPr="00860923" w:rsidRDefault="003C004D" w:rsidP="003C004D">
      <w:pPr>
        <w:rPr>
          <w:lang w:val="en-US"/>
        </w:rPr>
      </w:pPr>
      <w:r w:rsidRPr="00BC522D">
        <w:rPr>
          <w:lang w:val="en-GB"/>
        </w:rPr>
        <w:t xml:space="preserve">An </w:t>
      </w:r>
      <w:r>
        <w:rPr>
          <w:lang w:val="en-GB"/>
        </w:rPr>
        <w:t>overall plan for the 600 hours of work duties</w:t>
      </w:r>
      <w:r w:rsidRPr="00BC522D">
        <w:rPr>
          <w:lang w:val="en-GB"/>
        </w:rPr>
        <w:t xml:space="preserve"> must be included in </w:t>
      </w:r>
      <w:r>
        <w:rPr>
          <w:lang w:val="en-GB"/>
        </w:rPr>
        <w:t>the</w:t>
      </w:r>
      <w:r w:rsidRPr="00BC522D">
        <w:rPr>
          <w:lang w:val="en-GB"/>
        </w:rPr>
        <w:t xml:space="preserve"> PhD plan. Th</w:t>
      </w:r>
      <w:r>
        <w:rPr>
          <w:lang w:val="en-GB"/>
        </w:rPr>
        <w:t xml:space="preserve">ese </w:t>
      </w:r>
      <w:r w:rsidRPr="00BC522D">
        <w:rPr>
          <w:lang w:val="en-GB"/>
        </w:rPr>
        <w:t xml:space="preserve">work </w:t>
      </w:r>
      <w:r>
        <w:rPr>
          <w:lang w:val="en-GB"/>
        </w:rPr>
        <w:t xml:space="preserve">duties are </w:t>
      </w:r>
      <w:r w:rsidRPr="00BC522D">
        <w:rPr>
          <w:lang w:val="en-GB"/>
        </w:rPr>
        <w:t>planned</w:t>
      </w:r>
      <w:r>
        <w:rPr>
          <w:lang w:val="en-GB"/>
        </w:rPr>
        <w:t xml:space="preserve"> by the PhD students</w:t>
      </w:r>
      <w:r w:rsidRPr="00BC522D">
        <w:rPr>
          <w:lang w:val="en-GB"/>
        </w:rPr>
        <w:t xml:space="preserve"> </w:t>
      </w:r>
      <w:r>
        <w:rPr>
          <w:lang w:val="en-GB"/>
        </w:rPr>
        <w:t>and</w:t>
      </w:r>
      <w:r w:rsidRPr="00BC522D">
        <w:rPr>
          <w:lang w:val="en-GB"/>
        </w:rPr>
        <w:t xml:space="preserve"> main Supervisor, who will coordinate with the Head of S</w:t>
      </w:r>
      <w:r>
        <w:rPr>
          <w:lang w:val="en-GB"/>
        </w:rPr>
        <w:t>ection</w:t>
      </w:r>
      <w:r w:rsidRPr="00BC522D">
        <w:rPr>
          <w:lang w:val="en-GB"/>
        </w:rPr>
        <w:t xml:space="preserve"> which teaching responsibilities </w:t>
      </w:r>
      <w:r>
        <w:rPr>
          <w:lang w:val="en-GB"/>
        </w:rPr>
        <w:t>are agreed on</w:t>
      </w:r>
      <w:r w:rsidRPr="00BC522D">
        <w:rPr>
          <w:lang w:val="en-GB"/>
        </w:rPr>
        <w:t xml:space="preserve">. </w:t>
      </w:r>
      <w:r>
        <w:rPr>
          <w:lang w:val="en-GB"/>
        </w:rPr>
        <w:t xml:space="preserve">After agreement with the supervisor, PhD students </w:t>
      </w:r>
      <w:r w:rsidRPr="00256AB7">
        <w:rPr>
          <w:lang w:val="en-GB"/>
        </w:rPr>
        <w:t>who</w:t>
      </w:r>
      <w:r>
        <w:rPr>
          <w:lang w:val="en-GB"/>
        </w:rPr>
        <w:t>se position is</w:t>
      </w:r>
      <w:r w:rsidRPr="00256AB7">
        <w:rPr>
          <w:lang w:val="en-GB"/>
        </w:rPr>
        <w:t xml:space="preserve"> </w:t>
      </w:r>
      <w:r>
        <w:rPr>
          <w:lang w:val="en-GB"/>
        </w:rPr>
        <w:t xml:space="preserve">fully </w:t>
      </w:r>
      <w:r w:rsidRPr="00256AB7">
        <w:rPr>
          <w:lang w:val="en-GB"/>
        </w:rPr>
        <w:t xml:space="preserve">externally funded </w:t>
      </w:r>
      <w:r>
        <w:rPr>
          <w:lang w:val="en-GB"/>
        </w:rPr>
        <w:t xml:space="preserve">can be assigned concrete project-related tasks up to 200 hours of work. </w:t>
      </w:r>
      <w:r w:rsidRPr="00F265AC">
        <w:rPr>
          <w:lang w:val="en-US"/>
        </w:rPr>
        <w:t>The allocation of the amount of norm hours to teaching and other departmental assignments shall be approved before the finalizing of the Phd plan by the Vice-head of department (hours related to teaching) and Head of section (hours related to other departmental assignments). A smaller number of hours (between 100-200 hours) may be kept open in the PhD-plan to secure flexibility for the PhD student and the Department regarding new teaching or supervision duties or other departmental assignments.</w:t>
      </w:r>
      <w:r>
        <w:rPr>
          <w:lang w:val="en-US"/>
        </w:rPr>
        <w:t xml:space="preserve"> These tasks will be agreed on with the supervisor and coordinated with the head of section throughout the employment period.</w:t>
      </w:r>
    </w:p>
    <w:p w14:paraId="272B961B" w14:textId="77777777" w:rsidR="003C004D" w:rsidRPr="00860923" w:rsidRDefault="003C004D" w:rsidP="001170A2">
      <w:pPr>
        <w:rPr>
          <w:lang w:val="en-US"/>
        </w:rPr>
      </w:pPr>
    </w:p>
    <w:sectPr w:rsidR="003C004D" w:rsidRPr="00860923" w:rsidSect="006B33A7">
      <w:pgSz w:w="11906" w:h="16838"/>
      <w:pgMar w:top="1361" w:right="1134" w:bottom="136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C06C7" w14:textId="77777777" w:rsidR="00455967" w:rsidRDefault="00455967" w:rsidP="008C7D1F">
      <w:pPr>
        <w:spacing w:after="0" w:line="240" w:lineRule="auto"/>
      </w:pPr>
      <w:r>
        <w:separator/>
      </w:r>
    </w:p>
  </w:endnote>
  <w:endnote w:type="continuationSeparator" w:id="0">
    <w:p w14:paraId="62A6CF3C" w14:textId="77777777" w:rsidR="00455967" w:rsidRDefault="00455967" w:rsidP="008C7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9B1DF" w14:textId="77777777" w:rsidR="00455967" w:rsidRDefault="00455967" w:rsidP="008C7D1F">
      <w:pPr>
        <w:spacing w:after="0" w:line="240" w:lineRule="auto"/>
      </w:pPr>
      <w:r>
        <w:separator/>
      </w:r>
    </w:p>
  </w:footnote>
  <w:footnote w:type="continuationSeparator" w:id="0">
    <w:p w14:paraId="2F7765E0" w14:textId="77777777" w:rsidR="00455967" w:rsidRDefault="00455967" w:rsidP="008C7D1F">
      <w:pPr>
        <w:spacing w:after="0" w:line="240" w:lineRule="auto"/>
      </w:pPr>
      <w:r>
        <w:continuationSeparator/>
      </w:r>
    </w:p>
  </w:footnote>
  <w:footnote w:id="1">
    <w:p w14:paraId="78D48954" w14:textId="3A9F23CF" w:rsidR="00BD5D57" w:rsidRPr="006A3FB1" w:rsidRDefault="00BD5D57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D4693F">
        <w:rPr>
          <w:rFonts w:asciiTheme="minorHAnsi" w:hAnsiTheme="minorHAnsi" w:cstheme="minorHAnsi"/>
          <w:lang w:val="en-US"/>
        </w:rPr>
        <w:t>The document has been subject to alterations in Aug</w:t>
      </w:r>
      <w:r w:rsidR="004758C8" w:rsidRPr="00D4693F">
        <w:rPr>
          <w:rFonts w:asciiTheme="minorHAnsi" w:hAnsiTheme="minorHAnsi" w:cstheme="minorHAnsi"/>
          <w:lang w:val="en-US"/>
        </w:rPr>
        <w:t>.</w:t>
      </w:r>
      <w:r w:rsidRPr="00D4693F">
        <w:rPr>
          <w:rFonts w:asciiTheme="minorHAnsi" w:hAnsiTheme="minorHAnsi" w:cstheme="minorHAnsi"/>
          <w:lang w:val="en-US"/>
        </w:rPr>
        <w:t xml:space="preserve"> 2025, but only to clarify existing practice</w:t>
      </w:r>
      <w:r w:rsidR="00104413" w:rsidRPr="00D4693F">
        <w:rPr>
          <w:rFonts w:asciiTheme="minorHAnsi" w:hAnsiTheme="minorHAnsi" w:cstheme="minorHAnsi"/>
          <w:lang w:val="en-US"/>
        </w:rPr>
        <w:t xml:space="preserve"> and include</w:t>
      </w:r>
      <w:r w:rsidR="00426A92" w:rsidRPr="00D4693F">
        <w:rPr>
          <w:rFonts w:asciiTheme="minorHAnsi" w:hAnsiTheme="minorHAnsi" w:cstheme="minorHAnsi"/>
          <w:lang w:val="en-US"/>
        </w:rPr>
        <w:t xml:space="preserve"> guidelines for </w:t>
      </w:r>
      <w:r w:rsidR="00021106" w:rsidRPr="00D4693F">
        <w:rPr>
          <w:rFonts w:asciiTheme="minorHAnsi" w:hAnsiTheme="minorHAnsi" w:cstheme="minorHAnsi"/>
          <w:lang w:val="en-US"/>
        </w:rPr>
        <w:t xml:space="preserve">planning </w:t>
      </w:r>
      <w:r w:rsidR="00426A92" w:rsidRPr="00D4693F">
        <w:rPr>
          <w:rFonts w:asciiTheme="minorHAnsi" w:hAnsiTheme="minorHAnsi" w:cstheme="minorHAnsi"/>
          <w:lang w:val="en-US"/>
        </w:rPr>
        <w:t xml:space="preserve">teaching </w:t>
      </w:r>
      <w:r w:rsidR="00021106" w:rsidRPr="00D4693F">
        <w:rPr>
          <w:rFonts w:asciiTheme="minorHAnsi" w:hAnsiTheme="minorHAnsi" w:cstheme="minorHAnsi"/>
          <w:lang w:val="en-US"/>
        </w:rPr>
        <w:t>and supervision</w:t>
      </w:r>
      <w:r>
        <w:rPr>
          <w:lang w:val="en-US"/>
        </w:rPr>
        <w:t>.</w:t>
      </w:r>
    </w:p>
  </w:footnote>
  <w:footnote w:id="2">
    <w:p w14:paraId="088CEE60" w14:textId="11143F1E" w:rsidR="00E44997" w:rsidRPr="006A3FB1" w:rsidRDefault="00E44997" w:rsidP="00E44997">
      <w:pPr>
        <w:rPr>
          <w:lang w:val="en-US"/>
        </w:rPr>
      </w:pPr>
      <w:r>
        <w:rPr>
          <w:rStyle w:val="FootnoteReference"/>
        </w:rPr>
        <w:footnoteRef/>
      </w:r>
      <w:r w:rsidR="00BC51EB" w:rsidRPr="00BC51EB">
        <w:rPr>
          <w:lang w:val="en-US"/>
        </w:rPr>
        <w:t xml:space="preserve"> </w:t>
      </w:r>
      <w:r w:rsidR="00D4693F">
        <w:rPr>
          <w:lang w:val="en-US"/>
        </w:rPr>
        <w:t xml:space="preserve"> </w:t>
      </w:r>
      <w:hyperlink r:id="rId1" w:history="1">
        <w:r w:rsidR="002A3B78" w:rsidRPr="002A3B78">
          <w:rPr>
            <w:rStyle w:val="Hyperlink"/>
            <w:sz w:val="20"/>
            <w:szCs w:val="20"/>
            <w:lang w:val="en-US"/>
          </w:rPr>
          <w:t>Protocol on PhD fellows §7, appendix 5 Circular on the collective agreement for academic staff employed by the State Sector</w:t>
        </w:r>
      </w:hyperlink>
      <w:r w:rsidR="002A3B78" w:rsidRPr="002A3B78">
        <w:rPr>
          <w:sz w:val="20"/>
          <w:szCs w:val="20"/>
          <w:lang w:val="en-US"/>
        </w:rPr>
        <w:t xml:space="preserve"> </w:t>
      </w:r>
      <w:r w:rsidR="00D4693F" w:rsidRPr="002A3B78">
        <w:rPr>
          <w:sz w:val="20"/>
          <w:szCs w:val="20"/>
          <w:lang w:val="en-US"/>
        </w:rPr>
        <w:t>p. 79.</w:t>
      </w:r>
    </w:p>
  </w:footnote>
  <w:footnote w:id="3">
    <w:p w14:paraId="7C617729" w14:textId="3794D416" w:rsidR="008C7D1F" w:rsidRPr="006A3FB1" w:rsidRDefault="008C7D1F" w:rsidP="008C7D1F">
      <w:pPr>
        <w:pStyle w:val="FootnoteText"/>
        <w:rPr>
          <w:rFonts w:asciiTheme="minorHAnsi" w:hAnsiTheme="minorHAnsi" w:cstheme="minorHAnsi"/>
          <w:sz w:val="22"/>
          <w:szCs w:val="22"/>
          <w:lang w:val="en-US"/>
        </w:rPr>
      </w:pPr>
      <w:r w:rsidRPr="00712003">
        <w:rPr>
          <w:rStyle w:val="FootnoteReference"/>
        </w:rPr>
        <w:footnoteRef/>
      </w:r>
      <w:r w:rsidRPr="006A3FB1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hyperlink r:id="rId2" w:history="1">
        <w:r w:rsidR="00AB07A8" w:rsidRPr="006A3FB1">
          <w:rPr>
            <w:rStyle w:val="Hyperlink"/>
            <w:rFonts w:asciiTheme="minorHAnsi" w:hAnsiTheme="minorHAnsi" w:cstheme="minorHAnsi"/>
            <w:sz w:val="22"/>
            <w:szCs w:val="22"/>
            <w:lang w:val="en-US"/>
          </w:rPr>
          <w:t>https://syddanskuni.sharepoint.com/Sites/statskundskab/SitePages/Home.aspx</w:t>
        </w:r>
      </w:hyperlink>
      <w:r w:rsidR="00AB07A8" w:rsidRPr="006A3FB1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</w:p>
  </w:footnote>
  <w:footnote w:id="4">
    <w:p w14:paraId="79E45889" w14:textId="24BD3B21" w:rsidR="007E74B7" w:rsidRPr="006A3FB1" w:rsidRDefault="007E74B7" w:rsidP="007E74B7">
      <w:pPr>
        <w:pStyle w:val="FootnoteText"/>
        <w:rPr>
          <w:rFonts w:asciiTheme="minorHAnsi" w:hAnsiTheme="minorHAnsi" w:cstheme="minorHAnsi"/>
          <w:sz w:val="22"/>
          <w:szCs w:val="22"/>
          <w:lang w:val="en-US"/>
        </w:rPr>
      </w:pPr>
      <w:r w:rsidRPr="00712003">
        <w:rPr>
          <w:rStyle w:val="FootnoteReference"/>
        </w:rPr>
        <w:footnoteRef/>
      </w:r>
      <w:r w:rsidRPr="006A3FB1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hyperlink r:id="rId3" w:history="1">
        <w:r w:rsidRPr="006A3FB1">
          <w:rPr>
            <w:rStyle w:val="Hyperlink"/>
            <w:rFonts w:asciiTheme="minorHAnsi" w:hAnsiTheme="minorHAnsi" w:cstheme="minorHAnsi"/>
            <w:sz w:val="22"/>
            <w:szCs w:val="22"/>
            <w:lang w:val="en-US"/>
          </w:rPr>
          <w:t>https://syddanskuni.sharepoint.com/Sites/statskundskab/SitePages/Home.aspx</w:t>
        </w:r>
      </w:hyperlink>
      <w:r w:rsidRPr="006A3FB1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B003C"/>
    <w:multiLevelType w:val="hybridMultilevel"/>
    <w:tmpl w:val="180E3160"/>
    <w:lvl w:ilvl="0" w:tplc="E1423DF4">
      <w:start w:val="6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B3459B"/>
    <w:multiLevelType w:val="hybridMultilevel"/>
    <w:tmpl w:val="D4EC1D12"/>
    <w:lvl w:ilvl="0" w:tplc="6B980A26">
      <w:start w:val="6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D068A5"/>
    <w:multiLevelType w:val="hybridMultilevel"/>
    <w:tmpl w:val="7626F1D8"/>
    <w:lvl w:ilvl="0" w:tplc="8722AF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7508346">
    <w:abstractNumId w:val="1"/>
  </w:num>
  <w:num w:numId="2" w16cid:durableId="2134595155">
    <w:abstractNumId w:val="0"/>
  </w:num>
  <w:num w:numId="3" w16cid:durableId="7381399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4A8"/>
    <w:rsid w:val="00021106"/>
    <w:rsid w:val="00027DEE"/>
    <w:rsid w:val="00071A39"/>
    <w:rsid w:val="000B4EBA"/>
    <w:rsid w:val="000C13D9"/>
    <w:rsid w:val="000C38B8"/>
    <w:rsid w:val="000C3BC4"/>
    <w:rsid w:val="000D4A66"/>
    <w:rsid w:val="000D6A75"/>
    <w:rsid w:val="000F2700"/>
    <w:rsid w:val="000F3EFF"/>
    <w:rsid w:val="000F68ED"/>
    <w:rsid w:val="00103794"/>
    <w:rsid w:val="00104413"/>
    <w:rsid w:val="001170A2"/>
    <w:rsid w:val="001518C1"/>
    <w:rsid w:val="00161C01"/>
    <w:rsid w:val="0017176A"/>
    <w:rsid w:val="00197EE0"/>
    <w:rsid w:val="001B708E"/>
    <w:rsid w:val="001C015E"/>
    <w:rsid w:val="001F2546"/>
    <w:rsid w:val="001F47CF"/>
    <w:rsid w:val="001F5EFA"/>
    <w:rsid w:val="0023476C"/>
    <w:rsid w:val="00256AB7"/>
    <w:rsid w:val="00264CFD"/>
    <w:rsid w:val="0026564B"/>
    <w:rsid w:val="00270EBF"/>
    <w:rsid w:val="002720D6"/>
    <w:rsid w:val="00292E88"/>
    <w:rsid w:val="002A06AD"/>
    <w:rsid w:val="002A3B78"/>
    <w:rsid w:val="002B6343"/>
    <w:rsid w:val="002C065D"/>
    <w:rsid w:val="002C1261"/>
    <w:rsid w:val="00317A4A"/>
    <w:rsid w:val="00337575"/>
    <w:rsid w:val="0036379E"/>
    <w:rsid w:val="003665CE"/>
    <w:rsid w:val="0037453E"/>
    <w:rsid w:val="003745CE"/>
    <w:rsid w:val="003758B1"/>
    <w:rsid w:val="00394EF8"/>
    <w:rsid w:val="003B248F"/>
    <w:rsid w:val="003B3283"/>
    <w:rsid w:val="003B4F74"/>
    <w:rsid w:val="003B7E72"/>
    <w:rsid w:val="003C004D"/>
    <w:rsid w:val="003C57B1"/>
    <w:rsid w:val="003D51D8"/>
    <w:rsid w:val="003F594C"/>
    <w:rsid w:val="00404532"/>
    <w:rsid w:val="00413ACB"/>
    <w:rsid w:val="00426A92"/>
    <w:rsid w:val="0043693D"/>
    <w:rsid w:val="004502A8"/>
    <w:rsid w:val="00455967"/>
    <w:rsid w:val="00470EE8"/>
    <w:rsid w:val="00473AA1"/>
    <w:rsid w:val="004758C8"/>
    <w:rsid w:val="00476391"/>
    <w:rsid w:val="00492392"/>
    <w:rsid w:val="004A749B"/>
    <w:rsid w:val="004E25A4"/>
    <w:rsid w:val="00503685"/>
    <w:rsid w:val="0051784E"/>
    <w:rsid w:val="0052462D"/>
    <w:rsid w:val="00583B52"/>
    <w:rsid w:val="0059334E"/>
    <w:rsid w:val="005B3914"/>
    <w:rsid w:val="005B3F49"/>
    <w:rsid w:val="005B76F4"/>
    <w:rsid w:val="005C0A87"/>
    <w:rsid w:val="005C1D7A"/>
    <w:rsid w:val="005E6400"/>
    <w:rsid w:val="00610E69"/>
    <w:rsid w:val="00610EF4"/>
    <w:rsid w:val="00610EF8"/>
    <w:rsid w:val="00620B5E"/>
    <w:rsid w:val="00642A96"/>
    <w:rsid w:val="00663C2C"/>
    <w:rsid w:val="0066515A"/>
    <w:rsid w:val="00670AC8"/>
    <w:rsid w:val="00685565"/>
    <w:rsid w:val="00685872"/>
    <w:rsid w:val="006A3FB1"/>
    <w:rsid w:val="006B33A7"/>
    <w:rsid w:val="006C0546"/>
    <w:rsid w:val="006C0988"/>
    <w:rsid w:val="006D2FA6"/>
    <w:rsid w:val="00712003"/>
    <w:rsid w:val="00712F1D"/>
    <w:rsid w:val="0073007B"/>
    <w:rsid w:val="007518C0"/>
    <w:rsid w:val="00751D87"/>
    <w:rsid w:val="007521C4"/>
    <w:rsid w:val="007531C6"/>
    <w:rsid w:val="007551AD"/>
    <w:rsid w:val="00775404"/>
    <w:rsid w:val="00780CF2"/>
    <w:rsid w:val="00782B25"/>
    <w:rsid w:val="00796812"/>
    <w:rsid w:val="007A2AC3"/>
    <w:rsid w:val="007E036B"/>
    <w:rsid w:val="007E74B7"/>
    <w:rsid w:val="00810747"/>
    <w:rsid w:val="0081378A"/>
    <w:rsid w:val="00840799"/>
    <w:rsid w:val="00842B57"/>
    <w:rsid w:val="00860923"/>
    <w:rsid w:val="008621CC"/>
    <w:rsid w:val="00862A78"/>
    <w:rsid w:val="008713A4"/>
    <w:rsid w:val="0088186E"/>
    <w:rsid w:val="008A3E1F"/>
    <w:rsid w:val="008C2D8E"/>
    <w:rsid w:val="008C7D1F"/>
    <w:rsid w:val="008E6222"/>
    <w:rsid w:val="00984331"/>
    <w:rsid w:val="009A3D28"/>
    <w:rsid w:val="009C67CB"/>
    <w:rsid w:val="009F77EA"/>
    <w:rsid w:val="00A144A8"/>
    <w:rsid w:val="00A57828"/>
    <w:rsid w:val="00A6127B"/>
    <w:rsid w:val="00A72580"/>
    <w:rsid w:val="00A803C9"/>
    <w:rsid w:val="00A818D3"/>
    <w:rsid w:val="00AB07A8"/>
    <w:rsid w:val="00AB7CC4"/>
    <w:rsid w:val="00AC6FD9"/>
    <w:rsid w:val="00AD2F7E"/>
    <w:rsid w:val="00AF63B6"/>
    <w:rsid w:val="00B0584D"/>
    <w:rsid w:val="00B0594F"/>
    <w:rsid w:val="00B27D25"/>
    <w:rsid w:val="00B36F57"/>
    <w:rsid w:val="00B43135"/>
    <w:rsid w:val="00B81C91"/>
    <w:rsid w:val="00B824B6"/>
    <w:rsid w:val="00B87CCA"/>
    <w:rsid w:val="00BA7086"/>
    <w:rsid w:val="00BB1DC8"/>
    <w:rsid w:val="00BB20F1"/>
    <w:rsid w:val="00BC51EB"/>
    <w:rsid w:val="00BC78EA"/>
    <w:rsid w:val="00BD5D57"/>
    <w:rsid w:val="00BE522C"/>
    <w:rsid w:val="00BF33F8"/>
    <w:rsid w:val="00C00610"/>
    <w:rsid w:val="00C21466"/>
    <w:rsid w:val="00C37208"/>
    <w:rsid w:val="00C4238C"/>
    <w:rsid w:val="00C42468"/>
    <w:rsid w:val="00C503C7"/>
    <w:rsid w:val="00C622D6"/>
    <w:rsid w:val="00C7180F"/>
    <w:rsid w:val="00C82FCF"/>
    <w:rsid w:val="00C87F5C"/>
    <w:rsid w:val="00CB6D24"/>
    <w:rsid w:val="00CC7A31"/>
    <w:rsid w:val="00CD0525"/>
    <w:rsid w:val="00CE5EAE"/>
    <w:rsid w:val="00CF1154"/>
    <w:rsid w:val="00CF183E"/>
    <w:rsid w:val="00D14246"/>
    <w:rsid w:val="00D20462"/>
    <w:rsid w:val="00D45AB1"/>
    <w:rsid w:val="00D4693F"/>
    <w:rsid w:val="00D56235"/>
    <w:rsid w:val="00D84967"/>
    <w:rsid w:val="00D93E74"/>
    <w:rsid w:val="00DB0A6A"/>
    <w:rsid w:val="00DC1D9D"/>
    <w:rsid w:val="00DC7F74"/>
    <w:rsid w:val="00DF7142"/>
    <w:rsid w:val="00DF7DE9"/>
    <w:rsid w:val="00E17ACB"/>
    <w:rsid w:val="00E267B2"/>
    <w:rsid w:val="00E34F08"/>
    <w:rsid w:val="00E37234"/>
    <w:rsid w:val="00E40A3A"/>
    <w:rsid w:val="00E44997"/>
    <w:rsid w:val="00E67775"/>
    <w:rsid w:val="00E865D8"/>
    <w:rsid w:val="00E978DD"/>
    <w:rsid w:val="00EB0A19"/>
    <w:rsid w:val="00EB34F3"/>
    <w:rsid w:val="00EB4003"/>
    <w:rsid w:val="00F05A32"/>
    <w:rsid w:val="00F07FC9"/>
    <w:rsid w:val="00F265AC"/>
    <w:rsid w:val="00F426E6"/>
    <w:rsid w:val="00F74B69"/>
    <w:rsid w:val="00FC6DC0"/>
    <w:rsid w:val="00FE7E80"/>
    <w:rsid w:val="051E86F4"/>
    <w:rsid w:val="085627B6"/>
    <w:rsid w:val="09084575"/>
    <w:rsid w:val="09F1F817"/>
    <w:rsid w:val="0B2E6010"/>
    <w:rsid w:val="2FB32307"/>
    <w:rsid w:val="32EAC3C9"/>
    <w:rsid w:val="346D7E9A"/>
    <w:rsid w:val="3723B437"/>
    <w:rsid w:val="3731ED51"/>
    <w:rsid w:val="3AD414FE"/>
    <w:rsid w:val="3AE49AD7"/>
    <w:rsid w:val="3E8475C5"/>
    <w:rsid w:val="4DDB9CA0"/>
    <w:rsid w:val="5264D664"/>
    <w:rsid w:val="58CD049C"/>
    <w:rsid w:val="58D27584"/>
    <w:rsid w:val="6821F29B"/>
    <w:rsid w:val="6B150C4B"/>
    <w:rsid w:val="6B59935D"/>
    <w:rsid w:val="6E4FC32D"/>
    <w:rsid w:val="7AEC4608"/>
    <w:rsid w:val="7DE6221E"/>
    <w:rsid w:val="7EAF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F0A46"/>
  <w15:chartTrackingRefBased/>
  <w15:docId w15:val="{0F1BC8C5-6536-4273-8DA1-CABCF3813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70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55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7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70A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170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jlqj4b">
    <w:name w:val="jlqj4b"/>
    <w:basedOn w:val="DefaultParagraphFont"/>
    <w:rsid w:val="005E6400"/>
  </w:style>
  <w:style w:type="character" w:customStyle="1" w:styleId="viiyi">
    <w:name w:val="viiyi"/>
    <w:basedOn w:val="DefaultParagraphFont"/>
    <w:rsid w:val="00860923"/>
  </w:style>
  <w:style w:type="character" w:styleId="CommentReference">
    <w:name w:val="annotation reference"/>
    <w:basedOn w:val="DefaultParagraphFont"/>
    <w:uiPriority w:val="99"/>
    <w:semiHidden/>
    <w:unhideWhenUsed/>
    <w:rsid w:val="00A725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25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25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25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2580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0F68E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0F68ED"/>
    <w:rPr>
      <w:rFonts w:ascii="Calibri" w:eastAsia="Calibri" w:hAnsi="Calibri" w:cs="Calibri"/>
      <w:lang w:val="en-US"/>
    </w:rPr>
  </w:style>
  <w:style w:type="character" w:styleId="Hyperlink">
    <w:name w:val="Hyperlink"/>
    <w:basedOn w:val="DefaultParagraphFont"/>
    <w:uiPriority w:val="99"/>
    <w:unhideWhenUsed/>
    <w:rsid w:val="008C7D1F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C7D1F"/>
    <w:pPr>
      <w:spacing w:after="0" w:line="240" w:lineRule="auto"/>
      <w:jc w:val="both"/>
    </w:pPr>
    <w:rPr>
      <w:rFonts w:ascii="Garamond" w:eastAsia="Calibri" w:hAnsi="Garamond"/>
      <w:color w:val="00000A"/>
      <w:sz w:val="20"/>
      <w:szCs w:val="20"/>
      <w:lang w:val="e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C7D1F"/>
    <w:rPr>
      <w:rFonts w:ascii="Garamond" w:eastAsia="Calibri" w:hAnsi="Garamond"/>
      <w:color w:val="00000A"/>
      <w:sz w:val="20"/>
      <w:szCs w:val="20"/>
      <w:lang w:val="en"/>
    </w:rPr>
  </w:style>
  <w:style w:type="character" w:styleId="FootnoteReference">
    <w:name w:val="footnote reference"/>
    <w:basedOn w:val="DefaultParagraphFont"/>
    <w:uiPriority w:val="99"/>
    <w:semiHidden/>
    <w:unhideWhenUsed/>
    <w:rsid w:val="008C7D1F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712003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256AB7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AB07A8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68556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D5D5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D5D5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D5D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4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77768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8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64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yddanskuni.sharepoint.com/:w:/r/Sites/statskundskab/_layouts/15/Doc.aspx?sourcedoc=%7B5F291EC5-4128-4D64-98E9-93529A3D1450%7D&amp;file=Norm%20System%20Department%20of%20Political%20Science%20and%20Public%20Management%20Effective%20from%20Feb%201%2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yddanskuni.sharepoint.com/:w:/r/Sites/statskundskab/_layouts/15/Doc.aspx?sourcedoc=%7B5F291EC5-4128-4D64-98E9-93529A3D1450%7D&amp;file=Norm%20System%20Department%20of%20Political%20Science%20and%20Public%20Management%20Effective%20from%20Feb%201%20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syddanskuni.sharepoint.com/Sites/statskundskab/SitePages/Home.aspx" TargetMode="External"/><Relationship Id="rId2" Type="http://schemas.openxmlformats.org/officeDocument/2006/relationships/hyperlink" Target="https://syddanskuni.sharepoint.com/Sites/statskundskab/SitePages/Home.aspx" TargetMode="External"/><Relationship Id="rId1" Type="http://schemas.openxmlformats.org/officeDocument/2006/relationships/hyperlink" Target="https://cirkulaere.medst.dk/media/il0dhygl/067-25.pdf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d4a04d2-af00-4186-bb6a-844537ee2c3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919E5E7F1F9C4B8CAD8C14FE75CD5A" ma:contentTypeVersion="16" ma:contentTypeDescription="Opret et nyt dokument." ma:contentTypeScope="" ma:versionID="6c76d976b7a586448ced9be3089fe72d">
  <xsd:schema xmlns:xsd="http://www.w3.org/2001/XMLSchema" xmlns:xs="http://www.w3.org/2001/XMLSchema" xmlns:p="http://schemas.microsoft.com/office/2006/metadata/properties" xmlns:ns3="1d4a04d2-af00-4186-bb6a-844537ee2c32" xmlns:ns4="1459a2c8-8c8b-4c6c-b93f-24fe7473d785" targetNamespace="http://schemas.microsoft.com/office/2006/metadata/properties" ma:root="true" ma:fieldsID="056b7af31779b619a07b5e354b9812a7" ns3:_="" ns4:_="">
    <xsd:import namespace="1d4a04d2-af00-4186-bb6a-844537ee2c32"/>
    <xsd:import namespace="1459a2c8-8c8b-4c6c-b93f-24fe7473d7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a04d2-af00-4186-bb6a-844537ee2c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9a2c8-8c8b-4c6c-b93f-24fe7473d78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A0BFFE-AD74-4CBF-8BA9-045FBA7380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8B5D61-5209-43BE-9531-94BDDA9915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4F1236-6943-4B1E-83E6-7AFBD597A79B}">
  <ds:schemaRefs>
    <ds:schemaRef ds:uri="http://schemas.microsoft.com/office/2006/metadata/properties"/>
    <ds:schemaRef ds:uri="http://schemas.microsoft.com/office/infopath/2007/PartnerControls"/>
    <ds:schemaRef ds:uri="1d4a04d2-af00-4186-bb6a-844537ee2c32"/>
  </ds:schemaRefs>
</ds:datastoreItem>
</file>

<file path=customXml/itemProps4.xml><?xml version="1.0" encoding="utf-8"?>
<ds:datastoreItem xmlns:ds="http://schemas.openxmlformats.org/officeDocument/2006/customXml" ds:itemID="{AC78224E-494C-4B9C-847E-FB54A127E8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4a04d2-af00-4186-bb6a-844537ee2c32"/>
    <ds:schemaRef ds:uri="1459a2c8-8c8b-4c6c-b93f-24fe7473d7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979</Words>
  <Characters>5978</Characters>
  <Application>Microsoft Office Word</Application>
  <DocSecurity>4</DocSecurity>
  <Lines>49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Signe Pihl-Thingvad</dc:creator>
  <cp:keywords/>
  <dc:description/>
  <cp:lastModifiedBy>Idalina Hvidtfeldt-Bøjlesen</cp:lastModifiedBy>
  <cp:revision>2</cp:revision>
  <dcterms:created xsi:type="dcterms:W3CDTF">2025-09-23T09:40:00Z</dcterms:created>
  <dcterms:modified xsi:type="dcterms:W3CDTF">2025-09-23T09:40:00Z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{E20FBEBD-9392-4ED9-B8D9-01259C79440D}</vt:lpwstr>
  </property>
  <property fmtid="{D5CDD505-2E9C-101B-9397-08002B2CF9AE}" pid="3" name="ContentTypeId">
    <vt:lpwstr>0x01010052919E5E7F1F9C4B8CAD8C14FE75CD5A</vt:lpwstr>
  </property>
</Properties>
</file>