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5990" w14:textId="77777777" w:rsidR="00201B68" w:rsidRPr="00A448EA" w:rsidRDefault="00201B68" w:rsidP="00201B68">
      <w:pPr>
        <w:pStyle w:val="Brdtekst"/>
        <w:rPr>
          <w:b/>
          <w:sz w:val="32"/>
          <w:szCs w:val="32"/>
        </w:rPr>
      </w:pPr>
      <w:r w:rsidRPr="00A448EA">
        <w:rPr>
          <w:b/>
          <w:sz w:val="32"/>
          <w:szCs w:val="32"/>
        </w:rPr>
        <w:t>Skema for censorformandsskabet</w:t>
      </w:r>
      <w:r>
        <w:rPr>
          <w:b/>
          <w:sz w:val="32"/>
          <w:szCs w:val="32"/>
        </w:rPr>
        <w:t>s</w:t>
      </w:r>
      <w:r w:rsidRPr="00A448EA">
        <w:rPr>
          <w:b/>
          <w:sz w:val="32"/>
          <w:szCs w:val="32"/>
        </w:rPr>
        <w:t xml:space="preserve"> årsberetning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01B68" w14:paraId="7A53E7B2" w14:textId="77777777" w:rsidTr="000A69AD">
        <w:tc>
          <w:tcPr>
            <w:tcW w:w="4390" w:type="dxa"/>
          </w:tcPr>
          <w:p w14:paraId="243DA63B" w14:textId="77777777" w:rsidR="00201B68" w:rsidRDefault="00201B68" w:rsidP="00201B68">
            <w:pPr>
              <w:pStyle w:val="Brdtekst"/>
            </w:pPr>
            <w:r>
              <w:t xml:space="preserve">Censorkorps: </w:t>
            </w:r>
          </w:p>
        </w:tc>
        <w:tc>
          <w:tcPr>
            <w:tcW w:w="5238" w:type="dxa"/>
          </w:tcPr>
          <w:p w14:paraId="6C1EF2C2" w14:textId="77777777" w:rsidR="00201B68" w:rsidRDefault="00201B68" w:rsidP="00201B68">
            <w:pPr>
              <w:pStyle w:val="Brdtekst"/>
            </w:pPr>
          </w:p>
        </w:tc>
      </w:tr>
      <w:tr w:rsidR="00201B68" w14:paraId="1574AC10" w14:textId="77777777" w:rsidTr="000A69AD">
        <w:tc>
          <w:tcPr>
            <w:tcW w:w="4390" w:type="dxa"/>
          </w:tcPr>
          <w:p w14:paraId="7FEC952A" w14:textId="77777777" w:rsidR="00201B68" w:rsidRDefault="00201B68" w:rsidP="00201B68">
            <w:pPr>
              <w:pStyle w:val="Brdtekst"/>
            </w:pPr>
            <w:r>
              <w:t>Censorformand:</w:t>
            </w:r>
          </w:p>
        </w:tc>
        <w:tc>
          <w:tcPr>
            <w:tcW w:w="5238" w:type="dxa"/>
          </w:tcPr>
          <w:p w14:paraId="3223760D" w14:textId="77777777" w:rsidR="00201B68" w:rsidRDefault="00201B68" w:rsidP="00201B68">
            <w:pPr>
              <w:pStyle w:val="Brdtekst"/>
            </w:pPr>
          </w:p>
        </w:tc>
      </w:tr>
      <w:tr w:rsidR="00201B68" w14:paraId="7D5B5477" w14:textId="77777777" w:rsidTr="000A69AD">
        <w:tc>
          <w:tcPr>
            <w:tcW w:w="4390" w:type="dxa"/>
          </w:tcPr>
          <w:p w14:paraId="37F9A566" w14:textId="77777777" w:rsidR="00201B68" w:rsidRDefault="00201B68" w:rsidP="00201B68">
            <w:pPr>
              <w:pStyle w:val="Brdtekst"/>
            </w:pPr>
            <w:r>
              <w:t xml:space="preserve">Dato: </w:t>
            </w:r>
          </w:p>
        </w:tc>
        <w:tc>
          <w:tcPr>
            <w:tcW w:w="5238" w:type="dxa"/>
          </w:tcPr>
          <w:p w14:paraId="7F4B0DBF" w14:textId="77777777" w:rsidR="00201B68" w:rsidRDefault="00201B68" w:rsidP="00201B68">
            <w:pPr>
              <w:pStyle w:val="Brdtekst"/>
            </w:pPr>
          </w:p>
        </w:tc>
      </w:tr>
      <w:tr w:rsidR="00201B68" w14:paraId="093E9346" w14:textId="77777777" w:rsidTr="000A69AD">
        <w:tc>
          <w:tcPr>
            <w:tcW w:w="4390" w:type="dxa"/>
          </w:tcPr>
          <w:p w14:paraId="33C451A4" w14:textId="75908DD3" w:rsidR="00201B68" w:rsidRDefault="00201B68" w:rsidP="00201B68">
            <w:pPr>
              <w:pStyle w:val="Brdtekst"/>
            </w:pPr>
            <w:r>
              <w:t>Eksamenstermin</w:t>
            </w:r>
            <w:r w:rsidR="00673A87">
              <w:t>er</w:t>
            </w:r>
            <w:r>
              <w:t>:</w:t>
            </w:r>
            <w:r w:rsidR="000A69AD">
              <w:br/>
              <w:t xml:space="preserve">(sommereksamen xx + Vintereksamen xx) </w:t>
            </w:r>
          </w:p>
        </w:tc>
        <w:tc>
          <w:tcPr>
            <w:tcW w:w="5238" w:type="dxa"/>
          </w:tcPr>
          <w:p w14:paraId="0D7CD686" w14:textId="77777777" w:rsidR="00201B68" w:rsidRDefault="00201B68" w:rsidP="00201B68">
            <w:pPr>
              <w:pStyle w:val="Brdtekst"/>
            </w:pPr>
          </w:p>
        </w:tc>
      </w:tr>
    </w:tbl>
    <w:p w14:paraId="40A48792" w14:textId="77777777" w:rsidR="00201B68" w:rsidRDefault="00201B68" w:rsidP="00201B68">
      <w:pPr>
        <w:pStyle w:val="Brdtekst"/>
        <w:rPr>
          <w:b/>
          <w:i/>
          <w:color w:val="44546A" w:themeColor="text2"/>
        </w:rPr>
      </w:pPr>
    </w:p>
    <w:p w14:paraId="02F1CD26" w14:textId="77777777" w:rsidR="00201B68" w:rsidRPr="00FF7CB1" w:rsidRDefault="00201B68" w:rsidP="00201B68">
      <w:pPr>
        <w:pStyle w:val="Brdtekst"/>
        <w:rPr>
          <w:i/>
          <w:color w:val="44546A" w:themeColor="text2"/>
        </w:rPr>
      </w:pPr>
      <w:r w:rsidRPr="006A1442">
        <w:rPr>
          <w:b/>
          <w:i/>
          <w:color w:val="44546A" w:themeColor="text2"/>
        </w:rPr>
        <w:t>Censorer</w:t>
      </w:r>
      <w:r>
        <w:rPr>
          <w:i/>
          <w:color w:val="44546A" w:themeColor="text2"/>
        </w:rPr>
        <w:br/>
      </w:r>
      <w:r w:rsidRPr="00FF7CB1">
        <w:rPr>
          <w:i/>
        </w:rPr>
        <w:t>Antal censorer</w:t>
      </w:r>
    </w:p>
    <w:p w14:paraId="1157EDDE" w14:textId="77777777" w:rsidR="00201B68" w:rsidRDefault="00201B68" w:rsidP="00201B68">
      <w:r>
        <w:t>Nedenfor angives antallet af censorer i korpset samt en kort beskrivelse af organiseringen af censorformandskabet.</w:t>
      </w:r>
    </w:p>
    <w:p w14:paraId="754D26ED" w14:textId="77777777" w:rsidR="00201B68" w:rsidRDefault="00201B68" w:rsidP="00201B68"/>
    <w:tbl>
      <w:tblPr>
        <w:tblStyle w:val="Tabel-Gitter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46"/>
        <w:gridCol w:w="7682"/>
      </w:tblGrid>
      <w:tr w:rsidR="00201B68" w:rsidRPr="00093B61" w14:paraId="719FB8A9" w14:textId="77777777" w:rsidTr="00F2685A">
        <w:tc>
          <w:tcPr>
            <w:tcW w:w="1951" w:type="dxa"/>
          </w:tcPr>
          <w:p w14:paraId="2BDB5BAB" w14:textId="77777777" w:rsidR="00201B68" w:rsidRPr="00093B61" w:rsidRDefault="00201B68" w:rsidP="00F2685A">
            <w:r>
              <w:t>Censorforma</w:t>
            </w:r>
            <w:r w:rsidRPr="00093B61">
              <w:t>nd og næstformænd</w:t>
            </w:r>
          </w:p>
        </w:tc>
        <w:tc>
          <w:tcPr>
            <w:tcW w:w="7827" w:type="dxa"/>
          </w:tcPr>
          <w:p w14:paraId="1958757B" w14:textId="77777777" w:rsidR="00201B68" w:rsidRPr="00093B61" w:rsidRDefault="00201B68" w:rsidP="00F2685A"/>
        </w:tc>
      </w:tr>
      <w:tr w:rsidR="00201B68" w:rsidRPr="00093B61" w14:paraId="4C85DEF6" w14:textId="77777777" w:rsidTr="00F2685A">
        <w:tc>
          <w:tcPr>
            <w:tcW w:w="1951" w:type="dxa"/>
          </w:tcPr>
          <w:p w14:paraId="177C2874" w14:textId="77777777" w:rsidR="00201B68" w:rsidRPr="00093B61" w:rsidRDefault="00201B68" w:rsidP="00F2685A">
            <w:r w:rsidRPr="00093B61">
              <w:t xml:space="preserve">Antal censorer i korpset </w:t>
            </w:r>
          </w:p>
          <w:p w14:paraId="1128A3C3" w14:textId="77777777" w:rsidR="00201B68" w:rsidRPr="00093B61" w:rsidRDefault="00201B68" w:rsidP="00F2685A"/>
        </w:tc>
        <w:tc>
          <w:tcPr>
            <w:tcW w:w="7827" w:type="dxa"/>
          </w:tcPr>
          <w:p w14:paraId="5F1F3D77" w14:textId="77777777" w:rsidR="00201B68" w:rsidRPr="00093B61" w:rsidRDefault="00201B68" w:rsidP="00F2685A"/>
        </w:tc>
      </w:tr>
    </w:tbl>
    <w:p w14:paraId="46C77050" w14:textId="77777777" w:rsidR="00201B68" w:rsidRDefault="00201B68" w:rsidP="00201B68">
      <w:pPr>
        <w:pStyle w:val="Overskrift2"/>
      </w:pPr>
      <w:r>
        <w:t>Beskikkelser</w:t>
      </w:r>
    </w:p>
    <w:p w14:paraId="6C2C8AF2" w14:textId="77777777" w:rsidR="00201B68" w:rsidRDefault="00201B68" w:rsidP="00201B68">
      <w:r>
        <w:t xml:space="preserve">Nedenfor angives antal efterbeskikkelser og ad hoc beskikkelser: </w:t>
      </w:r>
    </w:p>
    <w:p w14:paraId="03DB569C" w14:textId="77777777" w:rsidR="00201B68" w:rsidRPr="005864D8" w:rsidRDefault="00201B68" w:rsidP="00201B68"/>
    <w:tbl>
      <w:tblPr>
        <w:tblStyle w:val="Tabel-Gitter"/>
        <w:tblW w:w="9634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6"/>
        <w:gridCol w:w="851"/>
        <w:gridCol w:w="6407"/>
      </w:tblGrid>
      <w:tr w:rsidR="00201B68" w:rsidRPr="00093B61" w14:paraId="533A99E2" w14:textId="77777777" w:rsidTr="00673A87">
        <w:tc>
          <w:tcPr>
            <w:tcW w:w="2376" w:type="dxa"/>
          </w:tcPr>
          <w:p w14:paraId="10965958" w14:textId="77777777" w:rsidR="00201B68" w:rsidRPr="00093B61" w:rsidRDefault="00201B68" w:rsidP="00F2685A"/>
        </w:tc>
        <w:tc>
          <w:tcPr>
            <w:tcW w:w="851" w:type="dxa"/>
          </w:tcPr>
          <w:p w14:paraId="72EE410F" w14:textId="77777777" w:rsidR="00201B68" w:rsidRPr="00093B61" w:rsidRDefault="00201B68" w:rsidP="00F2685A">
            <w:r w:rsidRPr="00093B61">
              <w:t>Antal</w:t>
            </w:r>
          </w:p>
        </w:tc>
        <w:tc>
          <w:tcPr>
            <w:tcW w:w="6407" w:type="dxa"/>
          </w:tcPr>
          <w:p w14:paraId="3942D037" w14:textId="77777777" w:rsidR="00201B68" w:rsidRPr="00093B61" w:rsidRDefault="00201B68" w:rsidP="00F2685A">
            <w:r w:rsidRPr="00093B61">
              <w:t>Begrundelser</w:t>
            </w:r>
          </w:p>
        </w:tc>
      </w:tr>
      <w:tr w:rsidR="00201B68" w:rsidRPr="00093B61" w14:paraId="6F205482" w14:textId="77777777" w:rsidTr="00673A87">
        <w:tc>
          <w:tcPr>
            <w:tcW w:w="2376" w:type="dxa"/>
          </w:tcPr>
          <w:p w14:paraId="0A2E4D05" w14:textId="77777777" w:rsidR="00201B68" w:rsidRPr="00093B61" w:rsidRDefault="00201B68" w:rsidP="00F2685A">
            <w:r w:rsidRPr="00093B61">
              <w:t>Efterbeskikkelser</w:t>
            </w:r>
          </w:p>
        </w:tc>
        <w:tc>
          <w:tcPr>
            <w:tcW w:w="851" w:type="dxa"/>
          </w:tcPr>
          <w:p w14:paraId="2D4D6B18" w14:textId="77777777" w:rsidR="00201B68" w:rsidRPr="00093B61" w:rsidRDefault="00201B68" w:rsidP="00F2685A"/>
        </w:tc>
        <w:tc>
          <w:tcPr>
            <w:tcW w:w="6407" w:type="dxa"/>
          </w:tcPr>
          <w:p w14:paraId="0E124CFE" w14:textId="77777777" w:rsidR="00201B68" w:rsidRPr="00093B61" w:rsidRDefault="00201B68" w:rsidP="00F2685A"/>
        </w:tc>
      </w:tr>
      <w:tr w:rsidR="00201B68" w:rsidRPr="00093B61" w14:paraId="560A8919" w14:textId="77777777" w:rsidTr="00673A87">
        <w:tc>
          <w:tcPr>
            <w:tcW w:w="2376" w:type="dxa"/>
          </w:tcPr>
          <w:p w14:paraId="4656EDD2" w14:textId="77777777" w:rsidR="00201B68" w:rsidRPr="00093B61" w:rsidRDefault="00201B68" w:rsidP="00F2685A">
            <w:r w:rsidRPr="00093B61">
              <w:t>Ad hoc beskikkelser</w:t>
            </w:r>
          </w:p>
        </w:tc>
        <w:tc>
          <w:tcPr>
            <w:tcW w:w="851" w:type="dxa"/>
          </w:tcPr>
          <w:p w14:paraId="0FEE6F07" w14:textId="77777777" w:rsidR="00201B68" w:rsidRPr="00093B61" w:rsidRDefault="00201B68" w:rsidP="00F2685A"/>
        </w:tc>
        <w:tc>
          <w:tcPr>
            <w:tcW w:w="6407" w:type="dxa"/>
          </w:tcPr>
          <w:p w14:paraId="49261BEF" w14:textId="77777777" w:rsidR="00201B68" w:rsidRPr="00093B61" w:rsidRDefault="00201B68" w:rsidP="00F2685A"/>
        </w:tc>
      </w:tr>
    </w:tbl>
    <w:p w14:paraId="6D3A65C9" w14:textId="77777777" w:rsidR="00201B68" w:rsidRDefault="00201B68" w:rsidP="00201B68">
      <w:pPr>
        <w:pStyle w:val="Overskrift1"/>
        <w:rPr>
          <w:b w:val="0"/>
          <w:i/>
          <w:color w:val="44546A" w:themeColor="text2"/>
        </w:rPr>
      </w:pPr>
    </w:p>
    <w:p w14:paraId="745FCAD3" w14:textId="77777777" w:rsidR="00201B68" w:rsidRPr="006A1442" w:rsidRDefault="00201B68" w:rsidP="00201B68">
      <w:pPr>
        <w:pStyle w:val="Overskrift1"/>
        <w:rPr>
          <w:i/>
          <w:color w:val="44546A" w:themeColor="text2"/>
        </w:rPr>
      </w:pPr>
      <w:r w:rsidRPr="006A1442">
        <w:rPr>
          <w:i/>
          <w:color w:val="44546A" w:themeColor="text2"/>
        </w:rPr>
        <w:t xml:space="preserve">Eksamensadministration </w:t>
      </w:r>
    </w:p>
    <w:p w14:paraId="19F4F5C5" w14:textId="77777777" w:rsidR="00201B68" w:rsidRDefault="00201B68" w:rsidP="00201B68">
      <w:r>
        <w:t xml:space="preserve">Nedenfor angives eventuelle kommentarer til samarbejdet med eksamensadministrationerne, herunder den digitale afvikling og håndtering af eksamensbesvarelser: </w:t>
      </w:r>
    </w:p>
    <w:p w14:paraId="65853672" w14:textId="77777777" w:rsidR="00201B68" w:rsidRDefault="00201B68" w:rsidP="00201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B68" w14:paraId="3F4A63C2" w14:textId="77777777" w:rsidTr="00F2685A">
        <w:tc>
          <w:tcPr>
            <w:tcW w:w="9778" w:type="dxa"/>
          </w:tcPr>
          <w:p w14:paraId="42868FE0" w14:textId="77777777" w:rsidR="00201B68" w:rsidRDefault="00201B68" w:rsidP="00F2685A"/>
        </w:tc>
      </w:tr>
    </w:tbl>
    <w:p w14:paraId="23E1EC16" w14:textId="77777777" w:rsidR="00201B68" w:rsidRDefault="00201B68" w:rsidP="00201B68">
      <w:pPr>
        <w:pStyle w:val="Overskrift1"/>
        <w:rPr>
          <w:b w:val="0"/>
          <w:i/>
          <w:color w:val="44546A" w:themeColor="text2"/>
        </w:rPr>
      </w:pPr>
    </w:p>
    <w:p w14:paraId="2D2ABCF8" w14:textId="77777777" w:rsidR="00201B68" w:rsidRPr="006A1442" w:rsidRDefault="00201B68" w:rsidP="00201B68">
      <w:pPr>
        <w:pStyle w:val="Overskrift1"/>
        <w:rPr>
          <w:i/>
          <w:color w:val="44546A" w:themeColor="text2"/>
        </w:rPr>
      </w:pPr>
      <w:r w:rsidRPr="006A1442">
        <w:rPr>
          <w:i/>
          <w:color w:val="44546A" w:themeColor="text2"/>
        </w:rPr>
        <w:t>Kvalitetssikring</w:t>
      </w:r>
    </w:p>
    <w:p w14:paraId="5BA039AD" w14:textId="77777777" w:rsidR="00201B68" w:rsidRPr="00630021" w:rsidRDefault="00201B68" w:rsidP="00201B68">
      <w:pPr>
        <w:pStyle w:val="Overskrift2"/>
        <w:rPr>
          <w:rStyle w:val="stknr"/>
        </w:rPr>
      </w:pPr>
      <w:r w:rsidRPr="00630021">
        <w:rPr>
          <w:rStyle w:val="stknr"/>
        </w:rPr>
        <w:t>Dialog med censorer</w:t>
      </w:r>
    </w:p>
    <w:p w14:paraId="2CD19BE8" w14:textId="77777777" w:rsidR="00201B68" w:rsidRDefault="00201B68" w:rsidP="00201B68">
      <w:r>
        <w:t xml:space="preserve">Nedenfor beskrives kort den dialog, som formandskabet har haft med censorerne i perioden: Møder (indhold og konklusioner), velkomstmateriale, nyhedsbreve, mm. </w:t>
      </w:r>
    </w:p>
    <w:p w14:paraId="0056E901" w14:textId="77777777" w:rsidR="00201B68" w:rsidRDefault="00201B68" w:rsidP="00201B68"/>
    <w:p w14:paraId="2135770C" w14:textId="77777777" w:rsidR="00201B68" w:rsidRDefault="00201B68" w:rsidP="00201B68">
      <w:r>
        <w:t>Desuden beskrives kort formandskabets planer om temaer og indsatser for den kommende periode.</w:t>
      </w:r>
    </w:p>
    <w:p w14:paraId="1B24DD3B" w14:textId="77777777" w:rsidR="00201B68" w:rsidRDefault="00201B68" w:rsidP="00201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B68" w14:paraId="11ACFFE2" w14:textId="77777777" w:rsidTr="00F2685A">
        <w:tc>
          <w:tcPr>
            <w:tcW w:w="9778" w:type="dxa"/>
          </w:tcPr>
          <w:p w14:paraId="7047E870" w14:textId="77777777" w:rsidR="00201B68" w:rsidRDefault="00201B68" w:rsidP="00F2685A"/>
        </w:tc>
      </w:tr>
    </w:tbl>
    <w:p w14:paraId="34E149DC" w14:textId="77777777" w:rsidR="00201B68" w:rsidRDefault="00201B68" w:rsidP="00201B68"/>
    <w:p w14:paraId="41DB3EB6" w14:textId="77777777" w:rsidR="00201B68" w:rsidRPr="00FF7CB1" w:rsidRDefault="00201B68" w:rsidP="00201B68">
      <w:pPr>
        <w:rPr>
          <w:i/>
        </w:rPr>
      </w:pPr>
      <w:r w:rsidRPr="00FF7CB1">
        <w:rPr>
          <w:i/>
        </w:rPr>
        <w:t>Gensidig censur</w:t>
      </w:r>
    </w:p>
    <w:p w14:paraId="13019207" w14:textId="77777777" w:rsidR="00201B68" w:rsidRDefault="00201B68" w:rsidP="00201B68">
      <w:r>
        <w:t xml:space="preserve">Har der i perioden været tilfælde, hvor reglerne om gensidig censur ikke har kunnet overholdes (§ 26 i eksamensbekendtgørelsen)? </w:t>
      </w:r>
    </w:p>
    <w:p w14:paraId="3E4BDC14" w14:textId="77777777" w:rsidR="00201B68" w:rsidRDefault="00201B68" w:rsidP="00201B68"/>
    <w:p w14:paraId="7F46B451" w14:textId="77777777" w:rsidR="00201B68" w:rsidRDefault="00201B68" w:rsidP="00201B68">
      <w:r>
        <w:t>Hvis ja, beskriv kort baggrund eller årsag.</w:t>
      </w:r>
    </w:p>
    <w:p w14:paraId="56808B73" w14:textId="77777777" w:rsidR="00201B68" w:rsidRDefault="00201B68" w:rsidP="00201B68"/>
    <w:tbl>
      <w:tblPr>
        <w:tblStyle w:val="Tabel-Gitter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101"/>
        <w:gridCol w:w="6485"/>
      </w:tblGrid>
      <w:tr w:rsidR="00201B68" w14:paraId="4B1977DE" w14:textId="77777777" w:rsidTr="00F2685A">
        <w:tc>
          <w:tcPr>
            <w:tcW w:w="1101" w:type="dxa"/>
          </w:tcPr>
          <w:p w14:paraId="1C7296B8" w14:textId="77777777" w:rsidR="00201B68" w:rsidRDefault="00201B68" w:rsidP="00F2685A">
            <w:r>
              <w:t>Nej</w:t>
            </w:r>
          </w:p>
        </w:tc>
        <w:tc>
          <w:tcPr>
            <w:tcW w:w="6485" w:type="dxa"/>
          </w:tcPr>
          <w:p w14:paraId="730CBF72" w14:textId="77777777" w:rsidR="00201B68" w:rsidRDefault="00201B68" w:rsidP="00F2685A"/>
        </w:tc>
      </w:tr>
      <w:tr w:rsidR="00201B68" w14:paraId="536D4E8C" w14:textId="77777777" w:rsidTr="00F2685A">
        <w:tc>
          <w:tcPr>
            <w:tcW w:w="1101" w:type="dxa"/>
          </w:tcPr>
          <w:p w14:paraId="2B185871" w14:textId="77777777" w:rsidR="00201B68" w:rsidRDefault="00201B68" w:rsidP="00F2685A">
            <w:r>
              <w:t>Ja</w:t>
            </w:r>
          </w:p>
        </w:tc>
        <w:tc>
          <w:tcPr>
            <w:tcW w:w="6485" w:type="dxa"/>
          </w:tcPr>
          <w:p w14:paraId="6005A3E4" w14:textId="77777777" w:rsidR="00201B68" w:rsidRDefault="00201B68" w:rsidP="00F2685A"/>
        </w:tc>
      </w:tr>
    </w:tbl>
    <w:p w14:paraId="236B4034" w14:textId="77777777" w:rsidR="00201B68" w:rsidRDefault="00201B68" w:rsidP="00201B68"/>
    <w:p w14:paraId="648AE195" w14:textId="77777777" w:rsidR="00201B68" w:rsidRDefault="00201B68" w:rsidP="00201B68">
      <w:pPr>
        <w:pStyle w:val="Overskrift2"/>
      </w:pPr>
      <w:r>
        <w:t>Dialog med universiteterne</w:t>
      </w:r>
    </w:p>
    <w:p w14:paraId="3EFCF10A" w14:textId="77777777" w:rsidR="00201B68" w:rsidRDefault="00201B68" w:rsidP="00201B68">
      <w:r>
        <w:t xml:space="preserve">Nedenfor beskrives kort den dialog, som formandskabet har haft med universiteterne i perioden, fx høringer af studieordningsrevisioner, uddannelsesevalueringer og lignende. </w:t>
      </w:r>
    </w:p>
    <w:p w14:paraId="08B7D34B" w14:textId="77777777" w:rsidR="00201B68" w:rsidRDefault="00201B68" w:rsidP="00201B68"/>
    <w:p w14:paraId="0F31A2BD" w14:textId="77777777" w:rsidR="00201B68" w:rsidRDefault="0051732A" w:rsidP="00201B68">
      <w:r>
        <w:t>Formand</w:t>
      </w:r>
      <w:r w:rsidR="00201B68">
        <w:t>skabet kan desuden foreslå emner for dialogen i den kommende periode.</w:t>
      </w:r>
    </w:p>
    <w:p w14:paraId="7E3CF2DD" w14:textId="77777777" w:rsidR="00201B68" w:rsidRDefault="00201B68" w:rsidP="00201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B68" w14:paraId="7EFAC804" w14:textId="77777777" w:rsidTr="00F2685A">
        <w:tc>
          <w:tcPr>
            <w:tcW w:w="9778" w:type="dxa"/>
          </w:tcPr>
          <w:p w14:paraId="033E100F" w14:textId="77777777" w:rsidR="00201B68" w:rsidRDefault="00201B68" w:rsidP="00F2685A"/>
        </w:tc>
      </w:tr>
    </w:tbl>
    <w:p w14:paraId="75D846FA" w14:textId="77777777" w:rsidR="00201B68" w:rsidRDefault="00201B68" w:rsidP="00201B68">
      <w:pPr>
        <w:pStyle w:val="Overskrift1"/>
      </w:pPr>
    </w:p>
    <w:p w14:paraId="0527C99A" w14:textId="77777777" w:rsidR="00201B68" w:rsidRPr="006A1442" w:rsidRDefault="00201B68" w:rsidP="00201B68">
      <w:pPr>
        <w:pStyle w:val="Overskrift1"/>
        <w:rPr>
          <w:i/>
          <w:color w:val="44546A" w:themeColor="text2"/>
        </w:rPr>
      </w:pPr>
      <w:r w:rsidRPr="006A1442">
        <w:rPr>
          <w:i/>
          <w:color w:val="44546A" w:themeColor="text2"/>
        </w:rPr>
        <w:t>Fagets udvikling</w:t>
      </w:r>
    </w:p>
    <w:p w14:paraId="626DD842" w14:textId="77777777" w:rsidR="00201B68" w:rsidRDefault="00201B68" w:rsidP="00201B68">
      <w:r w:rsidRPr="005C7B9F">
        <w:t>Nedenfor angives status for fagområdet</w:t>
      </w:r>
    </w:p>
    <w:p w14:paraId="2B0E4879" w14:textId="77777777" w:rsidR="00201B68" w:rsidRDefault="00201B68" w:rsidP="00201B68">
      <w:pPr>
        <w:pStyle w:val="Opstilling-punkttegn"/>
        <w:tabs>
          <w:tab w:val="num" w:pos="360"/>
        </w:tabs>
        <w:spacing w:after="200" w:line="276" w:lineRule="auto"/>
        <w:ind w:left="360" w:hanging="360"/>
      </w:pPr>
      <w:r>
        <w:t xml:space="preserve">Eventuelle </w:t>
      </w:r>
      <w:r w:rsidRPr="005C7B9F">
        <w:t>opmærksomhedspunkter af faglig karakter</w:t>
      </w:r>
      <w:r>
        <w:t xml:space="preserve"> </w:t>
      </w:r>
    </w:p>
    <w:p w14:paraId="5DFF2465" w14:textId="77777777" w:rsidR="00201B68" w:rsidRDefault="00201B68" w:rsidP="00201B68">
      <w:pPr>
        <w:pStyle w:val="Opstilling-punkttegn"/>
        <w:tabs>
          <w:tab w:val="num" w:pos="360"/>
        </w:tabs>
        <w:spacing w:after="200" w:line="276" w:lineRule="auto"/>
        <w:ind w:left="360" w:hanging="360"/>
      </w:pPr>
      <w:r>
        <w:t>Censorernes tilbagemeldinger om de studerendes faglige og videnskabelige niveau</w:t>
      </w:r>
    </w:p>
    <w:p w14:paraId="202419C0" w14:textId="77777777" w:rsidR="00201B68" w:rsidRDefault="00201B68" w:rsidP="00201B68">
      <w:pPr>
        <w:pStyle w:val="Opstilling-punkttegn"/>
        <w:tabs>
          <w:tab w:val="num" w:pos="360"/>
        </w:tabs>
        <w:spacing w:after="200" w:line="276" w:lineRule="auto"/>
        <w:ind w:left="360" w:hanging="360"/>
      </w:pPr>
      <w:r>
        <w:t>Ændringsforslag til fagets prøver og eksamensformer, herunder om de forbereder de studerende til arbejdsmarkedets krav og forventninger</w:t>
      </w:r>
    </w:p>
    <w:p w14:paraId="23FC932C" w14:textId="6AE53BD7" w:rsidR="00201B68" w:rsidRDefault="00201B68" w:rsidP="00201B68">
      <w:pPr>
        <w:pStyle w:val="Opstilling-punkttegn"/>
        <w:tabs>
          <w:tab w:val="num" w:pos="360"/>
        </w:tabs>
        <w:spacing w:after="200" w:line="276" w:lineRule="auto"/>
        <w:ind w:left="360" w:hanging="360"/>
      </w:pPr>
      <w:r>
        <w:t>Prøvestatistik</w:t>
      </w:r>
      <w:r w:rsidR="00673A87">
        <w:t>ker, klager og anker</w:t>
      </w:r>
      <w:r>
        <w:t xml:space="preserve"> for perioden</w:t>
      </w:r>
      <w:r w:rsidRPr="005C7B9F">
        <w:t xml:space="preserve"> </w:t>
      </w:r>
    </w:p>
    <w:p w14:paraId="2BA6D035" w14:textId="77777777" w:rsidR="00201B68" w:rsidRDefault="00201B68" w:rsidP="00201B68">
      <w:pPr>
        <w:pStyle w:val="Opstilling-punkttegn"/>
        <w:tabs>
          <w:tab w:val="num" w:pos="360"/>
        </w:tabs>
        <w:spacing w:after="200" w:line="276" w:lineRule="auto"/>
        <w:ind w:left="360" w:hanging="360"/>
      </w:pPr>
      <w:r>
        <w:t>Perspektiver på fagets og prøveformernes</w:t>
      </w:r>
      <w:r w:rsidRPr="005C7B9F">
        <w:t xml:space="preserve"> relevans for arbejdsma</w:t>
      </w:r>
      <w:r>
        <w:t xml:space="preserve">rkedet og omverdenen.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B68" w14:paraId="24B4001E" w14:textId="77777777" w:rsidTr="00F2685A">
        <w:tc>
          <w:tcPr>
            <w:tcW w:w="9778" w:type="dxa"/>
          </w:tcPr>
          <w:p w14:paraId="398E5733" w14:textId="77777777" w:rsidR="00201B68" w:rsidRDefault="00201B68" w:rsidP="00F2685A"/>
        </w:tc>
      </w:tr>
    </w:tbl>
    <w:p w14:paraId="28754868" w14:textId="77777777" w:rsidR="00AD0000" w:rsidRDefault="00AD0000"/>
    <w:sectPr w:rsidR="00AD0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68"/>
    <w:rsid w:val="000A69AD"/>
    <w:rsid w:val="00201B68"/>
    <w:rsid w:val="0051732A"/>
    <w:rsid w:val="00673A87"/>
    <w:rsid w:val="00A70D26"/>
    <w:rsid w:val="00A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33C9"/>
  <w15:chartTrackingRefBased/>
  <w15:docId w15:val="{1935B075-B1D4-4294-A270-157AFBA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68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Brdtekst"/>
    <w:next w:val="Brdtekst"/>
    <w:link w:val="Overskrift1Tegn"/>
    <w:uiPriority w:val="9"/>
    <w:qFormat/>
    <w:rsid w:val="00201B68"/>
    <w:pPr>
      <w:keepNext/>
      <w:outlineLvl w:val="0"/>
    </w:pPr>
    <w:rPr>
      <w:b/>
    </w:rPr>
  </w:style>
  <w:style w:type="paragraph" w:styleId="Overskrift2">
    <w:name w:val="heading 2"/>
    <w:basedOn w:val="Brdtekst"/>
    <w:next w:val="Brdtekst"/>
    <w:link w:val="Overskrift2Tegn"/>
    <w:uiPriority w:val="9"/>
    <w:qFormat/>
    <w:rsid w:val="00201B68"/>
    <w:pPr>
      <w:keepNext/>
      <w:spacing w:before="120"/>
      <w:outlineLvl w:val="1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1B68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1B68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201B68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rsid w:val="00201B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01B6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2"/>
    <w:qFormat/>
    <w:rsid w:val="00201B68"/>
    <w:pPr>
      <w:numPr>
        <w:numId w:val="1"/>
      </w:numPr>
      <w:contextualSpacing/>
    </w:pPr>
  </w:style>
  <w:style w:type="character" w:customStyle="1" w:styleId="stknr">
    <w:name w:val="stknr"/>
    <w:basedOn w:val="Standardskrifttypeiafsnit"/>
    <w:rsid w:val="0020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42B0925D70241B78923AF9C34F7B3" ma:contentTypeVersion="12" ma:contentTypeDescription="Opret et nyt dokument." ma:contentTypeScope="" ma:versionID="51004b542b76f0826232c3b781f788de">
  <xsd:schema xmlns:xsd="http://www.w3.org/2001/XMLSchema" xmlns:xs="http://www.w3.org/2001/XMLSchema" xmlns:p="http://schemas.microsoft.com/office/2006/metadata/properties" xmlns:ns2="21eeb354-56e2-471c-b7fb-d07571e1d1f1" xmlns:ns3="80acec1c-4090-4588-94a6-4049ad4b56eb" targetNamespace="http://schemas.microsoft.com/office/2006/metadata/properties" ma:root="true" ma:fieldsID="48e58470fab7dde22433eae4dff58571" ns2:_="" ns3:_="">
    <xsd:import namespace="21eeb354-56e2-471c-b7fb-d07571e1d1f1"/>
    <xsd:import namespace="80acec1c-4090-4588-94a6-4049ad4b5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b354-56e2-471c-b7fb-d07571e1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ec1c-4090-4588-94a6-4049ad4b5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3A773-4674-42B0-99A2-BA6E8B727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3FC8D-5C1E-41DC-90D7-27CF980E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FFEEF-CB0D-4C91-8A42-C7F787EF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eb354-56e2-471c-b7fb-d07571e1d1f1"/>
    <ds:schemaRef ds:uri="80acec1c-4090-4588-94a6-4049ad4b5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Hildebrand Hedegaard</dc:creator>
  <cp:keywords/>
  <dc:description/>
  <cp:lastModifiedBy>Helle Hildebrand Hedegaard</cp:lastModifiedBy>
  <cp:revision>3</cp:revision>
  <dcterms:created xsi:type="dcterms:W3CDTF">2018-03-06T12:29:00Z</dcterms:created>
  <dcterms:modified xsi:type="dcterms:W3CDTF">2022-02-08T10:10:00Z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{7C15FFEC-C58B-47F4-BB16-D8CB261D4D09}</vt:lpwstr>
  </property>
  <property fmtid="{D5CDD505-2E9C-101B-9397-08002B2CF9AE}" pid="3" name="ContentTypeId">
    <vt:lpwstr>0x01010007642B0925D70241B78923AF9C34F7B3</vt:lpwstr>
  </property>
</Properties>
</file>