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9763" w14:textId="7FF6A1C8" w:rsidR="00150C52" w:rsidRDefault="00410999" w:rsidP="006D56F4">
      <w:r>
        <w:rPr>
          <w:noProof/>
        </w:rPr>
        <w:drawing>
          <wp:inline distT="0" distB="0" distL="0" distR="0" wp14:anchorId="7348CC90" wp14:editId="5D5E2678">
            <wp:extent cx="2051242" cy="990600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b="4"/>
                    <a:stretch/>
                  </pic:blipFill>
                  <pic:spPr>
                    <a:xfrm>
                      <a:off x="0" y="0"/>
                      <a:ext cx="2090062" cy="10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96DD8" w14:textId="277B1CC3" w:rsidR="00410999" w:rsidRPr="00F63F58" w:rsidRDefault="00410999" w:rsidP="006D56F4">
      <w:pPr>
        <w:rPr>
          <w:b/>
          <w:bCs/>
          <w:sz w:val="28"/>
          <w:szCs w:val="28"/>
        </w:rPr>
      </w:pPr>
      <w:r w:rsidRPr="00F63F58">
        <w:rPr>
          <w:b/>
          <w:bCs/>
          <w:sz w:val="28"/>
          <w:szCs w:val="28"/>
        </w:rPr>
        <w:t>Evalueringsmøde med eksterne eksperter – Kultur og Formidling</w:t>
      </w:r>
    </w:p>
    <w:p w14:paraId="390B25CE" w14:textId="7BB615D1" w:rsidR="00410999" w:rsidRDefault="00410999" w:rsidP="006D56F4"/>
    <w:p w14:paraId="136FE5CB" w14:textId="45F2F7F2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 xml:space="preserve">Dato: </w:t>
      </w:r>
      <w:r w:rsidRPr="00F63F58">
        <w:rPr>
          <w:rFonts w:ascii="Arial" w:hAnsi="Arial" w:cs="Arial"/>
        </w:rPr>
        <w:tab/>
        <w:t>21. november 2022 kl. 11.00-15.00</w:t>
      </w:r>
    </w:p>
    <w:p w14:paraId="151EEB6A" w14:textId="25A37C8E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 xml:space="preserve">Lokale: </w:t>
      </w:r>
      <w:r w:rsidRPr="00F63F58">
        <w:rPr>
          <w:rFonts w:ascii="Arial" w:hAnsi="Arial" w:cs="Arial"/>
        </w:rPr>
        <w:tab/>
        <w:t>Gennemsigten</w:t>
      </w:r>
    </w:p>
    <w:p w14:paraId="0BEE0AD9" w14:textId="1EA2B3EF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>Eksperter:</w:t>
      </w:r>
      <w:r w:rsidRPr="00F63F58">
        <w:rPr>
          <w:rFonts w:ascii="Arial" w:hAnsi="Arial" w:cs="Arial"/>
        </w:rPr>
        <w:tab/>
        <w:t>Carsten Stage, professor samt viceinstitutleder, Aarhus Universitet</w:t>
      </w:r>
    </w:p>
    <w:p w14:paraId="62DDAB5E" w14:textId="4017B0B6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ab/>
        <w:t xml:space="preserve">Michael </w:t>
      </w:r>
      <w:proofErr w:type="spellStart"/>
      <w:r w:rsidRPr="00F63F58">
        <w:rPr>
          <w:rFonts w:ascii="Arial" w:hAnsi="Arial" w:cs="Arial"/>
        </w:rPr>
        <w:t>Eigtved</w:t>
      </w:r>
      <w:proofErr w:type="spellEnd"/>
      <w:r w:rsidRPr="00F63F58">
        <w:rPr>
          <w:rFonts w:ascii="Arial" w:hAnsi="Arial" w:cs="Arial"/>
        </w:rPr>
        <w:t>, lektor, Københavns Universitet</w:t>
      </w:r>
    </w:p>
    <w:p w14:paraId="67E3168C" w14:textId="5E41CB07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ab/>
        <w:t>Marie Elisabeth Dam, konsulent, Faaborg/Midtfyns Kommune</w:t>
      </w:r>
    </w:p>
    <w:p w14:paraId="1D16C1DB" w14:textId="2CFA10C6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 xml:space="preserve">Studerende: </w:t>
      </w:r>
      <w:r w:rsidRPr="00F63F58">
        <w:rPr>
          <w:rFonts w:ascii="Arial" w:hAnsi="Arial" w:cs="Arial"/>
        </w:rPr>
        <w:tab/>
        <w:t>Emma Emilie Thorsteinsson</w:t>
      </w:r>
    </w:p>
    <w:p w14:paraId="10623F85" w14:textId="1CB2C570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>Fra SDU:</w:t>
      </w:r>
      <w:r w:rsidRPr="00F63F58">
        <w:rPr>
          <w:rFonts w:ascii="Arial" w:hAnsi="Arial" w:cs="Arial"/>
        </w:rPr>
        <w:tab/>
        <w:t>Anne Klara Bom, studieleder</w:t>
      </w:r>
    </w:p>
    <w:p w14:paraId="114D224C" w14:textId="0D661E8D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ab/>
        <w:t>Erik Granly, lektor</w:t>
      </w:r>
    </w:p>
    <w:p w14:paraId="21AEB6CE" w14:textId="252F3AD3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ab/>
        <w:t>Lars Grassmé Binderup, prodekan for uddannelse</w:t>
      </w:r>
    </w:p>
    <w:p w14:paraId="1FF0834D" w14:textId="2BAC62C5" w:rsidR="00410999" w:rsidRPr="00F63F58" w:rsidRDefault="00410999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ab/>
        <w:t>Ingelise Nielsen, studienævnssekretær</w:t>
      </w:r>
    </w:p>
    <w:p w14:paraId="0F55EB06" w14:textId="6E25F548" w:rsidR="007B2D3A" w:rsidRPr="00F63F58" w:rsidRDefault="007B2D3A" w:rsidP="00F63F58">
      <w:pPr>
        <w:spacing w:line="240" w:lineRule="auto"/>
        <w:rPr>
          <w:rFonts w:ascii="Arial" w:hAnsi="Arial" w:cs="Arial"/>
        </w:rPr>
      </w:pPr>
    </w:p>
    <w:p w14:paraId="413FBC86" w14:textId="75CAC13A" w:rsidR="007B2D3A" w:rsidRPr="00F63F58" w:rsidRDefault="007B2D3A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 xml:space="preserve">Mødeleder: </w:t>
      </w:r>
      <w:r w:rsidRPr="00F63F58">
        <w:rPr>
          <w:rFonts w:ascii="Arial" w:hAnsi="Arial" w:cs="Arial"/>
        </w:rPr>
        <w:tab/>
        <w:t>Lars Grassmé Binderup</w:t>
      </w:r>
    </w:p>
    <w:p w14:paraId="7E63D2EA" w14:textId="788B7BC9" w:rsidR="007B2D3A" w:rsidRPr="00F63F58" w:rsidRDefault="007B2D3A" w:rsidP="00F63F58">
      <w:pPr>
        <w:spacing w:line="240" w:lineRule="auto"/>
        <w:rPr>
          <w:rFonts w:ascii="Arial" w:hAnsi="Arial" w:cs="Arial"/>
        </w:rPr>
      </w:pPr>
      <w:r w:rsidRPr="00F63F58">
        <w:rPr>
          <w:rFonts w:ascii="Arial" w:hAnsi="Arial" w:cs="Arial"/>
        </w:rPr>
        <w:t xml:space="preserve">Referent: </w:t>
      </w:r>
      <w:r w:rsidRPr="00F63F58">
        <w:rPr>
          <w:rFonts w:ascii="Arial" w:hAnsi="Arial" w:cs="Arial"/>
        </w:rPr>
        <w:tab/>
        <w:t>Ingelise Nielsen</w:t>
      </w:r>
    </w:p>
    <w:p w14:paraId="1A18D14C" w14:textId="45220D14" w:rsidR="007B2D3A" w:rsidRDefault="007B2D3A" w:rsidP="006D56F4"/>
    <w:p w14:paraId="0DC367BB" w14:textId="23DE7652" w:rsidR="007B2D3A" w:rsidRPr="00A01196" w:rsidRDefault="007B2D3A" w:rsidP="006D56F4">
      <w:pPr>
        <w:rPr>
          <w:b/>
          <w:bCs/>
        </w:rPr>
      </w:pPr>
      <w:r w:rsidRPr="00A01196">
        <w:rPr>
          <w:b/>
          <w:bCs/>
        </w:rPr>
        <w:t>Velkomst ved prodekanen</w:t>
      </w:r>
    </w:p>
    <w:p w14:paraId="286DF2CB" w14:textId="797C90A0" w:rsidR="007B2D3A" w:rsidRDefault="007B2D3A" w:rsidP="006D56F4">
      <w:r>
        <w:t>Prodekan Lars Grassmé Binderup bød velkommen og panelet præsenterede sig.</w:t>
      </w:r>
    </w:p>
    <w:p w14:paraId="3AC5514C" w14:textId="6CFB97A0" w:rsidR="007B2D3A" w:rsidRDefault="007B2D3A" w:rsidP="006D56F4">
      <w:r>
        <w:t>Prodekanen orienterede om mødets formål: Det er lovpligtigt i forhold til institutionsakkrediteringen, at der hvert sjette år holdes et evalueringsmøde med eksterne eksperter. Desuden er det erfaringsmæssigt nogle gode møder, hvor uddannelsen får et vigtigt fagligt input udefra.</w:t>
      </w:r>
    </w:p>
    <w:p w14:paraId="382A348F" w14:textId="1587593C" w:rsidR="007B2D3A" w:rsidRDefault="007B2D3A" w:rsidP="006D56F4">
      <w:r>
        <w:t>Der vil på baggrund af mødet blive udarbejdet et notat</w:t>
      </w:r>
      <w:r w:rsidR="004B440D">
        <w:t xml:space="preserve"> med anbefalinger til studiets videre udvikling</w:t>
      </w:r>
      <w:r>
        <w:t>, som skal behandles i studienævnet og som skal indgå i uddannelsesberetningen.</w:t>
      </w:r>
    </w:p>
    <w:p w14:paraId="4FDD6849" w14:textId="77777777" w:rsidR="00A01196" w:rsidRDefault="00A01196" w:rsidP="006D56F4"/>
    <w:p w14:paraId="588F61A7" w14:textId="158B54D3" w:rsidR="00613A6D" w:rsidRPr="00A01196" w:rsidRDefault="007B2D3A" w:rsidP="006D56F4">
      <w:pPr>
        <w:rPr>
          <w:b/>
          <w:bCs/>
        </w:rPr>
      </w:pPr>
      <w:r w:rsidRPr="00A01196">
        <w:rPr>
          <w:b/>
          <w:bCs/>
        </w:rPr>
        <w:t>Præsentation/refleksion ved studieleder Anne Klara Bom</w:t>
      </w:r>
    </w:p>
    <w:p w14:paraId="78DD8043" w14:textId="4E1D9977" w:rsidR="007B2D3A" w:rsidRDefault="007B2D3A" w:rsidP="006D56F4">
      <w:r>
        <w:t>Uddannelsens nøgletal i forhold til gennemførelse</w:t>
      </w:r>
      <w:r w:rsidR="00613A6D">
        <w:t xml:space="preserve"> </w:t>
      </w:r>
      <w:r>
        <w:t xml:space="preserve">og studieintensitet er i top. </w:t>
      </w:r>
    </w:p>
    <w:p w14:paraId="33DE046F" w14:textId="7127AD73" w:rsidR="007B2D3A" w:rsidRDefault="007B2D3A" w:rsidP="006D56F4">
      <w:r>
        <w:t xml:space="preserve">Uddannelsen optager bredt fra mange bacheloruddannelser og professionsuddannelser. </w:t>
      </w:r>
      <w:r w:rsidR="00613A6D">
        <w:t>Vi har en stærk tradition for at undervise case</w:t>
      </w:r>
      <w:r w:rsidR="004B440D">
        <w:t>-</w:t>
      </w:r>
      <w:r w:rsidR="00613A6D">
        <w:t>baseret, hvor teori og metode kobles med praksis.</w:t>
      </w:r>
    </w:p>
    <w:p w14:paraId="7359B070" w14:textId="36C271B1" w:rsidR="00613A6D" w:rsidRDefault="00613A6D" w:rsidP="006D56F4">
      <w:r>
        <w:lastRenderedPageBreak/>
        <w:t>Vi har få seniorforskere i miljøet, men har en del ph.d.-</w:t>
      </w:r>
      <w:proofErr w:type="spellStart"/>
      <w:r>
        <w:t>ere</w:t>
      </w:r>
      <w:proofErr w:type="spellEnd"/>
      <w:r>
        <w:t xml:space="preserve"> og post. docs tilknyttet, hvorfor undervisningen er baseret </w:t>
      </w:r>
      <w:proofErr w:type="gramStart"/>
      <w:r>
        <w:t>på</w:t>
      </w:r>
      <w:proofErr w:type="gramEnd"/>
      <w:r>
        <w:t xml:space="preserve"> hyper aktuel forskning. Mange specialeemner er knyttet til denne forskning.</w:t>
      </w:r>
      <w:r w:rsidR="005C02EB">
        <w:t xml:space="preserve"> De få faste undervisere gør os dog sårbare overfor uforudsete begivenheder som sygdom og opsigelser.</w:t>
      </w:r>
    </w:p>
    <w:p w14:paraId="1A594D8E" w14:textId="5C5BCD06" w:rsidR="00613A6D" w:rsidRDefault="00613A6D" w:rsidP="006D56F4">
      <w:r>
        <w:t>Vi har som mange andre humanistiske uddannelser problemer med høj dimittendledighed</w:t>
      </w:r>
      <w:r w:rsidR="00CD0C80">
        <w:t xml:space="preserve"> og ligger desværre også i den høje ende</w:t>
      </w:r>
      <w:r>
        <w:t xml:space="preserve">. Vi har fokus på </w:t>
      </w:r>
      <w:proofErr w:type="spellStart"/>
      <w:r>
        <w:t>employabilitet</w:t>
      </w:r>
      <w:proofErr w:type="spellEnd"/>
      <w:r>
        <w:t xml:space="preserve"> og har indført obligatorisk praktik med en stærk faglig rammesætning. Desuden har vi et aktivt aftagerpanel</w:t>
      </w:r>
      <w:r w:rsidR="005C02EB">
        <w:t>.</w:t>
      </w:r>
    </w:p>
    <w:p w14:paraId="01503F51" w14:textId="1A3611FC" w:rsidR="005C02EB" w:rsidRDefault="005C02EB" w:rsidP="006D56F4">
      <w:r>
        <w:t>Vi oplever frafald, men årsagen er ikke, at de studerende er utilfredse med uddannelsen. Vi er en pendleruddannelse</w:t>
      </w:r>
      <w:r w:rsidR="00CD0C80">
        <w:t xml:space="preserve"> </w:t>
      </w:r>
      <w:r>
        <w:t xml:space="preserve">og arbejder på at styrke studiemiljøet bl.a. ved at have et aktivt fagråd og ved at indføre campusdage, hvor undervisningen samles i blokdage, hvor der samtidig arrangeres andre faglige og sociale aktiviteter. </w:t>
      </w:r>
    </w:p>
    <w:p w14:paraId="3D5C84F7" w14:textId="77777777" w:rsidR="00A01196" w:rsidRDefault="00A01196" w:rsidP="006D56F4"/>
    <w:p w14:paraId="063D7236" w14:textId="39C73302" w:rsidR="005C02EB" w:rsidRPr="00A01196" w:rsidRDefault="005C02EB" w:rsidP="006D56F4">
      <w:pPr>
        <w:rPr>
          <w:b/>
          <w:bCs/>
        </w:rPr>
      </w:pPr>
      <w:r w:rsidRPr="00A01196">
        <w:rPr>
          <w:b/>
          <w:bCs/>
        </w:rPr>
        <w:t>Gennemgang af uddannelsens styrker, svagheder, muligheder og trusler ved eksterne eksperter</w:t>
      </w:r>
    </w:p>
    <w:p w14:paraId="29FC9E22" w14:textId="36979D91" w:rsidR="005C02EB" w:rsidRDefault="005C02EB" w:rsidP="006D56F4">
      <w:r>
        <w:t>De eksterne eksperter pegede på flg. fokusområder:</w:t>
      </w:r>
    </w:p>
    <w:p w14:paraId="7184A1EF" w14:textId="274BD252" w:rsidR="005C02EB" w:rsidRDefault="005C02EB" w:rsidP="005C02EB">
      <w:pPr>
        <w:pStyle w:val="Listeafsnit"/>
        <w:numPr>
          <w:ilvl w:val="0"/>
          <w:numId w:val="1"/>
        </w:numPr>
      </w:pPr>
      <w:r>
        <w:t>Hvad er uddannelsens indre sammenhængskraft?</w:t>
      </w:r>
    </w:p>
    <w:p w14:paraId="22D06A2F" w14:textId="47B76B4C" w:rsidR="005C02EB" w:rsidRDefault="005C02EB" w:rsidP="005C02EB">
      <w:pPr>
        <w:pStyle w:val="Listeafsnit"/>
        <w:numPr>
          <w:ilvl w:val="0"/>
          <w:numId w:val="1"/>
        </w:numPr>
      </w:pPr>
      <w:r>
        <w:t>Hvordan ser man denne sammenhæng i studieordningen?</w:t>
      </w:r>
    </w:p>
    <w:p w14:paraId="680E494B" w14:textId="47C6247A" w:rsidR="005C02EB" w:rsidRDefault="005C02EB" w:rsidP="005C02EB">
      <w:pPr>
        <w:pStyle w:val="Listeafsnit"/>
        <w:numPr>
          <w:ilvl w:val="0"/>
          <w:numId w:val="1"/>
        </w:numPr>
      </w:pPr>
      <w:r>
        <w:t xml:space="preserve">Hvordan hænger dette sammen med </w:t>
      </w:r>
      <w:r w:rsidR="00A05930">
        <w:t>det jobmarked, som dimittenderne kommer ud til?</w:t>
      </w:r>
    </w:p>
    <w:p w14:paraId="17722AEC" w14:textId="7D4F6940" w:rsidR="00D5612E" w:rsidRDefault="00D5612E" w:rsidP="005C02EB">
      <w:pPr>
        <w:pStyle w:val="Listeafsnit"/>
        <w:numPr>
          <w:ilvl w:val="0"/>
          <w:numId w:val="1"/>
        </w:numPr>
      </w:pPr>
      <w:r>
        <w:t>Hvordan er kontakten til det regionale jobmarked?</w:t>
      </w:r>
    </w:p>
    <w:p w14:paraId="169601FC" w14:textId="2B0FA932" w:rsidR="00A05930" w:rsidRDefault="00A05930" w:rsidP="00A05930">
      <w:r>
        <w:t xml:space="preserve">Uddannelsen hedder Kultur og Formidling – og profilerer sig som en uddannelse baseret på traditionen omkring </w:t>
      </w:r>
      <w:proofErr w:type="spellStart"/>
      <w:r>
        <w:t>Cultural</w:t>
      </w:r>
      <w:proofErr w:type="spellEnd"/>
      <w:r>
        <w:t xml:space="preserve"> Studies. Der undervises i nutidstemaer vedrørende </w:t>
      </w:r>
      <w:r w:rsidR="000F489C">
        <w:t xml:space="preserve">f.eks. </w:t>
      </w:r>
      <w:r>
        <w:t xml:space="preserve">krop, køn, sundhed med fokus på magtstrukturer og diskurs. </w:t>
      </w:r>
      <w:r w:rsidR="00CD0C80">
        <w:t>Men h</w:t>
      </w:r>
      <w:r w:rsidR="00D5612E">
        <w:t>vordan er formidling inkorporeret i uddannelsen?</w:t>
      </w:r>
      <w:r w:rsidR="007B493C">
        <w:t xml:space="preserve"> Og er fokus på de udvalgte nutidstemaer </w:t>
      </w:r>
      <w:r w:rsidR="00EA00B9">
        <w:t xml:space="preserve">koordineret </w:t>
      </w:r>
      <w:r w:rsidR="007B493C">
        <w:t xml:space="preserve">med </w:t>
      </w:r>
      <w:r w:rsidR="00EA00B9">
        <w:t>behovet for, at dimittenderne har de rette kompetencer i forhold til deres muligheder på jobmarkedet?</w:t>
      </w:r>
    </w:p>
    <w:p w14:paraId="35D6E69D" w14:textId="3890834A" w:rsidR="00A05930" w:rsidRDefault="00BF3C38" w:rsidP="00A05930">
      <w:r>
        <w:t xml:space="preserve">Uddannelsen har en høj ledighedsgrad, hvilket er et problem, der skal løses. </w:t>
      </w:r>
      <w:r w:rsidR="00A05930">
        <w:t xml:space="preserve">Uddannelsen sigter </w:t>
      </w:r>
      <w:r w:rsidR="000F489C">
        <w:t>primært på at ruste de studerende til et job i kulturbranchen. Gør uddannelsen dem bedre til at varetage sådanne jobs? Er uddannelsen opbygget</w:t>
      </w:r>
      <w:r w:rsidR="00A22AA6">
        <w:t xml:space="preserve">, så de enkelte moduler kan forbindes </w:t>
      </w:r>
      <w:r w:rsidR="000F489C">
        <w:t>med e</w:t>
      </w:r>
      <w:r w:rsidR="000E77A8">
        <w:t xml:space="preserve">n </w:t>
      </w:r>
      <w:r w:rsidR="00A22AA6">
        <w:t xml:space="preserve">konkret </w:t>
      </w:r>
      <w:r w:rsidR="000F489C">
        <w:t>erhvervs</w:t>
      </w:r>
      <w:r w:rsidR="000E77A8">
        <w:t>kompetence</w:t>
      </w:r>
      <w:r w:rsidR="000F489C">
        <w:t xml:space="preserve">, eller er den en buffet af </w:t>
      </w:r>
      <w:proofErr w:type="spellStart"/>
      <w:r w:rsidR="000F489C">
        <w:t>kulturfag</w:t>
      </w:r>
      <w:proofErr w:type="spellEnd"/>
      <w:r w:rsidR="000F489C">
        <w:t>, hvor det forventes af de studerende, at de selv med tiden kobler til det erhvervsrelevante</w:t>
      </w:r>
      <w:r w:rsidR="00A22AA6">
        <w:t>?</w:t>
      </w:r>
    </w:p>
    <w:p w14:paraId="29420CF4" w14:textId="28CA740E" w:rsidR="00D5612E" w:rsidRDefault="00D5612E" w:rsidP="00A05930">
      <w:r>
        <w:t>Studieleder Anne Klara Bom svarede på disse spørgsmål:</w:t>
      </w:r>
    </w:p>
    <w:p w14:paraId="79D303E4" w14:textId="589A0B04" w:rsidR="00D5612E" w:rsidRDefault="00D5612E" w:rsidP="00D5612E">
      <w:pPr>
        <w:pStyle w:val="Listeafsnit"/>
        <w:numPr>
          <w:ilvl w:val="0"/>
          <w:numId w:val="1"/>
        </w:numPr>
      </w:pPr>
      <w:r>
        <w:t xml:space="preserve">Den indre sammenhængskraft sikres </w:t>
      </w:r>
      <w:r w:rsidR="007406EB">
        <w:t xml:space="preserve">i studieordningen </w:t>
      </w:r>
      <w:r>
        <w:t xml:space="preserve">ved at uddannelsen starter bredt og slutter specifikt. Det vil sige, at på første år undervises i en buffet af </w:t>
      </w:r>
      <w:proofErr w:type="spellStart"/>
      <w:r>
        <w:t>kulturfag</w:t>
      </w:r>
      <w:proofErr w:type="spellEnd"/>
      <w:r>
        <w:t xml:space="preserve"> ud fra et nutidsperspektiv, hvor teori</w:t>
      </w:r>
      <w:r w:rsidR="007406EB">
        <w:t xml:space="preserve">, </w:t>
      </w:r>
      <w:r>
        <w:t>analyse</w:t>
      </w:r>
      <w:r w:rsidR="007406EB">
        <w:t xml:space="preserve"> og metode</w:t>
      </w:r>
      <w:r>
        <w:t xml:space="preserve"> er forankret i fagene. På tredje semester </w:t>
      </w:r>
      <w:r w:rsidR="008E22F0">
        <w:t>findes</w:t>
      </w:r>
      <w:r>
        <w:t xml:space="preserve"> faget Kulturprojekt, som er s</w:t>
      </w:r>
      <w:r w:rsidR="007406EB">
        <w:t xml:space="preserve">pecifikt rettet mod arbejdsmarkedet. Set fra en anden vinkel kan man også sige, at uddannelsen starter med et specifikt fokus på det kulturfaglige, men slutter med et bredt </w:t>
      </w:r>
      <w:proofErr w:type="spellStart"/>
      <w:r w:rsidR="007406EB">
        <w:t>omverdensperspektiv</w:t>
      </w:r>
      <w:proofErr w:type="spellEnd"/>
      <w:r w:rsidR="007406EB">
        <w:t xml:space="preserve">. </w:t>
      </w:r>
    </w:p>
    <w:p w14:paraId="2064FB6C" w14:textId="040D2F55" w:rsidR="007406EB" w:rsidRDefault="007406EB" w:rsidP="00D5612E">
      <w:pPr>
        <w:pStyle w:val="Listeafsnit"/>
        <w:numPr>
          <w:ilvl w:val="0"/>
          <w:numId w:val="1"/>
        </w:numPr>
      </w:pPr>
      <w:r>
        <w:t xml:space="preserve">På hvert semester er der desuden indbygget en formidlingssøjle, som kobler den kulturfaglige teori til praksis. Dette sker primært i vores </w:t>
      </w:r>
      <w:proofErr w:type="spellStart"/>
      <w:r>
        <w:t>casearbejde</w:t>
      </w:r>
      <w:proofErr w:type="spellEnd"/>
      <w:r>
        <w:t xml:space="preserve">, og kan også ses som uddannelsens kontinuerlige </w:t>
      </w:r>
      <w:proofErr w:type="spellStart"/>
      <w:r>
        <w:t>employabilitetsperspektiv</w:t>
      </w:r>
      <w:proofErr w:type="spellEnd"/>
      <w:r>
        <w:t xml:space="preserve">. </w:t>
      </w:r>
    </w:p>
    <w:p w14:paraId="5A6C733D" w14:textId="50A9E670" w:rsidR="00A01196" w:rsidRDefault="007406EB" w:rsidP="000E77A8">
      <w:pPr>
        <w:pStyle w:val="Listeafsnit"/>
        <w:numPr>
          <w:ilvl w:val="0"/>
          <w:numId w:val="1"/>
        </w:numPr>
      </w:pPr>
      <w:r>
        <w:t xml:space="preserve">Det er vores opfattelse, at virksomheder efterspørger en </w:t>
      </w:r>
      <w:proofErr w:type="spellStart"/>
      <w:r>
        <w:t>kulturkritisk</w:t>
      </w:r>
      <w:proofErr w:type="spellEnd"/>
      <w:r>
        <w:t xml:space="preserve"> vågenhed fra nye medarbejdere, som kan hjælpe den til at navigere i et samfund, som har stigende fokus på emner </w:t>
      </w:r>
      <w:r w:rsidR="000E77A8">
        <w:t xml:space="preserve">som </w:t>
      </w:r>
      <w:r>
        <w:t xml:space="preserve">racisme og sexisme. Dette giver vi de studerende gennem teori, analyse </w:t>
      </w:r>
      <w:r w:rsidR="00A01196">
        <w:t xml:space="preserve">og metode. Vi styrker deres evne til at indtræde på arbejdsmarkedet gennem </w:t>
      </w:r>
      <w:proofErr w:type="spellStart"/>
      <w:r w:rsidR="00A01196">
        <w:t>casearbejde</w:t>
      </w:r>
      <w:proofErr w:type="spellEnd"/>
      <w:r w:rsidR="00A01196">
        <w:t>.</w:t>
      </w:r>
    </w:p>
    <w:p w14:paraId="67547539" w14:textId="652291DB" w:rsidR="00A01196" w:rsidRDefault="00A01196" w:rsidP="00A01196">
      <w:pPr>
        <w:pStyle w:val="Listeafsnit"/>
        <w:numPr>
          <w:ilvl w:val="0"/>
          <w:numId w:val="1"/>
        </w:numPr>
      </w:pPr>
      <w:r>
        <w:lastRenderedPageBreak/>
        <w:t>Undersøgelser viser, at 1/3 af vores dimittender får arbejde på Fyn, resten typisk i større byer som Aarhus og København. De fleste indenfor undervisning og kulturområdet.</w:t>
      </w:r>
    </w:p>
    <w:p w14:paraId="7A426F9F" w14:textId="0712E606" w:rsidR="00BF3C38" w:rsidRDefault="00BF3C38" w:rsidP="00A01196">
      <w:pPr>
        <w:pStyle w:val="Listeafsnit"/>
        <w:numPr>
          <w:ilvl w:val="0"/>
          <w:numId w:val="1"/>
        </w:numPr>
      </w:pPr>
      <w:r>
        <w:t>Det blev desuden bemærket, at dimittendtallet fra 2022 bliver markant mindre, hvilket også bør medvirke til bedre jobudsigter for dimittenderne.</w:t>
      </w:r>
    </w:p>
    <w:p w14:paraId="0C367010" w14:textId="68F7DFF1" w:rsidR="00A01196" w:rsidRDefault="00A01196" w:rsidP="00A01196"/>
    <w:p w14:paraId="085707CE" w14:textId="2165CD13" w:rsidR="00A01196" w:rsidRPr="00AE3817" w:rsidRDefault="00A01196" w:rsidP="00A01196">
      <w:pPr>
        <w:rPr>
          <w:b/>
          <w:bCs/>
        </w:rPr>
      </w:pPr>
      <w:r w:rsidRPr="00AE3817">
        <w:rPr>
          <w:b/>
          <w:bCs/>
        </w:rPr>
        <w:t>Ekspertpanelets anbefalinger til uddannelsen på baggrund af de nævnte fokusområder og den efterfølgende diskussion:</w:t>
      </w:r>
    </w:p>
    <w:p w14:paraId="59792778" w14:textId="6888799E" w:rsidR="00A01196" w:rsidRDefault="00A01196" w:rsidP="00A01196">
      <w:pPr>
        <w:pStyle w:val="Listeafsnit"/>
        <w:numPr>
          <w:ilvl w:val="0"/>
          <w:numId w:val="2"/>
        </w:numPr>
      </w:pPr>
      <w:r>
        <w:t xml:space="preserve">Gennemtænke opbygningen af uddannelsen, så den bliver mere modulopbygget. Indenfor hver modul </w:t>
      </w:r>
      <w:r w:rsidR="000E77A8">
        <w:t xml:space="preserve">kunne der </w:t>
      </w:r>
      <w:r>
        <w:t>arbejdes med problembaseret undervisning.</w:t>
      </w:r>
      <w:r w:rsidR="00AE3817">
        <w:t xml:space="preserve"> Det skal stå klart for den studerende, hvad målet/idéen er for modulet, og hvorfor det er vigtigt at lære netop dette.</w:t>
      </w:r>
      <w:r>
        <w:t xml:space="preserve"> </w:t>
      </w:r>
      <w:r w:rsidR="00091115">
        <w:t xml:space="preserve">Der skal metakommunikeres kontinuerligt. </w:t>
      </w:r>
      <w:r>
        <w:t>På den måde kan der sikres en endnu stærkere sammenhæng mellem det analytiske og det praktiske</w:t>
      </w:r>
      <w:r w:rsidR="000E77A8">
        <w:t xml:space="preserve"> og erhvervsrettede</w:t>
      </w:r>
      <w:r>
        <w:t xml:space="preserve">. De studerende kan på den baggrund blive bedre til at </w:t>
      </w:r>
      <w:r w:rsidR="00091115">
        <w:t>oversætte</w:t>
      </w:r>
      <w:r>
        <w:t xml:space="preserve"> deres kompetencer </w:t>
      </w:r>
      <w:r w:rsidR="00091115">
        <w:t>i forhold til erhvervslivet.</w:t>
      </w:r>
    </w:p>
    <w:p w14:paraId="2272DE47" w14:textId="2156D2DA" w:rsidR="00851489" w:rsidRDefault="00851489" w:rsidP="00A01196">
      <w:pPr>
        <w:pStyle w:val="Listeafsnit"/>
        <w:numPr>
          <w:ilvl w:val="0"/>
          <w:numId w:val="2"/>
        </w:numPr>
      </w:pPr>
      <w:r>
        <w:t>Styrke den akademiske skriftlighed. Da uddannelsen optager bredt, skal uddannelsen påtage sig det ansvar at bringe alle op til en fælles standard</w:t>
      </w:r>
      <w:r w:rsidR="00AE3817">
        <w:t>. Der kunne tilknyttes en skrivevejleder.</w:t>
      </w:r>
    </w:p>
    <w:p w14:paraId="19E541DF" w14:textId="6DEABB3E" w:rsidR="00AE3817" w:rsidRDefault="00AE3817" w:rsidP="000E77A8">
      <w:pPr>
        <w:pStyle w:val="Listeafsnit"/>
        <w:numPr>
          <w:ilvl w:val="0"/>
          <w:numId w:val="2"/>
        </w:numPr>
      </w:pPr>
      <w:r>
        <w:t xml:space="preserve">Styrke samarbejdet med regionale og lokale aftagere. </w:t>
      </w:r>
      <w:r w:rsidR="000E77A8">
        <w:t>I øget omfang l</w:t>
      </w:r>
      <w:r>
        <w:t>ave case-baseret samarbejde med aftagerinstitutioner og virksomheder undervejs i uddannelsen.</w:t>
      </w:r>
    </w:p>
    <w:p w14:paraId="311A5BC8" w14:textId="0FA4FD15" w:rsidR="00AE3817" w:rsidRDefault="00AE3817" w:rsidP="00A01196">
      <w:pPr>
        <w:pStyle w:val="Listeafsnit"/>
        <w:numPr>
          <w:ilvl w:val="0"/>
          <w:numId w:val="2"/>
        </w:numPr>
      </w:pPr>
      <w:r>
        <w:t>Foretage dimittendundersøgelse, således at det afklares, hvor de studerende</w:t>
      </w:r>
      <w:r w:rsidR="000E77A8">
        <w:t xml:space="preserve"> konkret</w:t>
      </w:r>
      <w:r>
        <w:t xml:space="preserve"> ender henne – og holde uddannelsens elementer og deres relevans op mod aftagermarkedet. </w:t>
      </w:r>
    </w:p>
    <w:p w14:paraId="39BB93D2" w14:textId="6C22AE56" w:rsidR="00A01196" w:rsidRDefault="00A01196" w:rsidP="00A01196"/>
    <w:p w14:paraId="09870B49" w14:textId="77777777" w:rsidR="00A01196" w:rsidRDefault="00A01196" w:rsidP="00A01196"/>
    <w:p w14:paraId="7F1B0DAF" w14:textId="4BE8FBFE" w:rsidR="005C02EB" w:rsidRDefault="005C02EB" w:rsidP="006D56F4"/>
    <w:p w14:paraId="44181E35" w14:textId="77777777" w:rsidR="005C02EB" w:rsidRDefault="005C02EB" w:rsidP="006D56F4"/>
    <w:p w14:paraId="3E810DFC" w14:textId="77777777" w:rsidR="00613A6D" w:rsidRDefault="00613A6D" w:rsidP="006D56F4"/>
    <w:p w14:paraId="07CD2CB3" w14:textId="65387BE8" w:rsidR="007B2D3A" w:rsidRDefault="007B2D3A" w:rsidP="006D56F4"/>
    <w:p w14:paraId="42F66BEA" w14:textId="77777777" w:rsidR="007B2D3A" w:rsidRPr="006D56F4" w:rsidRDefault="007B2D3A" w:rsidP="006D56F4"/>
    <w:sectPr w:rsidR="007B2D3A" w:rsidRPr="006D56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1C16" w14:textId="77777777" w:rsidR="00D219D3" w:rsidRDefault="00D219D3" w:rsidP="00115E35">
      <w:pPr>
        <w:spacing w:after="0" w:line="240" w:lineRule="auto"/>
      </w:pPr>
      <w:r>
        <w:separator/>
      </w:r>
    </w:p>
  </w:endnote>
  <w:endnote w:type="continuationSeparator" w:id="0">
    <w:p w14:paraId="5080A23C" w14:textId="77777777" w:rsidR="00D219D3" w:rsidRDefault="00D219D3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AEB2" w14:textId="77777777" w:rsidR="00D219D3" w:rsidRDefault="00D219D3" w:rsidP="00115E35">
      <w:pPr>
        <w:spacing w:after="0" w:line="240" w:lineRule="auto"/>
      </w:pPr>
      <w:r>
        <w:separator/>
      </w:r>
    </w:p>
  </w:footnote>
  <w:footnote w:type="continuationSeparator" w:id="0">
    <w:p w14:paraId="32F6C9BF" w14:textId="77777777" w:rsidR="00D219D3" w:rsidRDefault="00D219D3" w:rsidP="0011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1E"/>
    <w:multiLevelType w:val="hybridMultilevel"/>
    <w:tmpl w:val="5F6417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01F64"/>
    <w:multiLevelType w:val="hybridMultilevel"/>
    <w:tmpl w:val="D0FABD80"/>
    <w:lvl w:ilvl="0" w:tplc="F968A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075">
    <w:abstractNumId w:val="1"/>
  </w:num>
  <w:num w:numId="2" w16cid:durableId="108117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99"/>
    <w:rsid w:val="00033327"/>
    <w:rsid w:val="0003486B"/>
    <w:rsid w:val="00091115"/>
    <w:rsid w:val="000E77A8"/>
    <w:rsid w:val="000F489C"/>
    <w:rsid w:val="00115E35"/>
    <w:rsid w:val="00126EA5"/>
    <w:rsid w:val="00174AE2"/>
    <w:rsid w:val="00180BB0"/>
    <w:rsid w:val="002A1263"/>
    <w:rsid w:val="003C3083"/>
    <w:rsid w:val="00410999"/>
    <w:rsid w:val="004732A1"/>
    <w:rsid w:val="004B440D"/>
    <w:rsid w:val="0051263B"/>
    <w:rsid w:val="005C02EB"/>
    <w:rsid w:val="00613A6D"/>
    <w:rsid w:val="00691EDE"/>
    <w:rsid w:val="006D56F4"/>
    <w:rsid w:val="007406EB"/>
    <w:rsid w:val="007B2D3A"/>
    <w:rsid w:val="007B493C"/>
    <w:rsid w:val="00851489"/>
    <w:rsid w:val="008E22F0"/>
    <w:rsid w:val="00931E05"/>
    <w:rsid w:val="00A01196"/>
    <w:rsid w:val="00A05930"/>
    <w:rsid w:val="00A22AA6"/>
    <w:rsid w:val="00A72CF2"/>
    <w:rsid w:val="00AE3817"/>
    <w:rsid w:val="00BE32A1"/>
    <w:rsid w:val="00BF3C38"/>
    <w:rsid w:val="00C3758B"/>
    <w:rsid w:val="00CD0C80"/>
    <w:rsid w:val="00D219D3"/>
    <w:rsid w:val="00D5612E"/>
    <w:rsid w:val="00E87314"/>
    <w:rsid w:val="00EA00B9"/>
    <w:rsid w:val="00EC3C29"/>
    <w:rsid w:val="00EE1CD7"/>
    <w:rsid w:val="00F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A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paragraph" w:styleId="Korrektur">
    <w:name w:val="Revision"/>
    <w:hidden/>
    <w:uiPriority w:val="99"/>
    <w:semiHidden/>
    <w:rsid w:val="004B440D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375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5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58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5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n\AppData\Local\Temp\2\Templafy\WordVsto\blank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16" ma:contentTypeDescription="Opret et nyt dokument." ma:contentTypeScope="" ma:versionID="e91787f85d55cb2a4a86492c1cef3260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bba07c1796a677846ff278bace8a353c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e10d5-a606-462e-b101-59948773c886}" ma:internalName="TaxCatchAll" ma:showField="CatchAllData" ma:web="2cfb10e1-bf54-4db8-a9a3-064e7248b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4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01C42734-6132-46F0-A19E-167739C02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0E844-4D58-41E7-90ED-4A90A4E0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8C649-791A-43C6-B77A-F03E4A584C2B}">
  <ds:schemaRefs/>
</ds:datastoreItem>
</file>

<file path=customXml/itemProps4.xml><?xml version="1.0" encoding="utf-8"?>
<ds:datastoreItem xmlns:ds="http://schemas.openxmlformats.org/officeDocument/2006/customXml" ds:itemID="{4438C9D5-CA01-495F-81BB-547FFFD0D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3</Pages>
  <Words>875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2022-12-09T11:47:00Z</dcterms:created>
  <dcterms:modified xsi:type="dcterms:W3CDTF">2022-12-09T11:52:00Z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637830414004183233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OfficeInstanceGUID">
    <vt:lpwstr>{609B4EFE-F806-4D99-AE63-5558796874C2}</vt:lpwstr>
  </property>
</Properties>
</file>