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26" w:rsidRDefault="00851437">
      <w:pPr>
        <w:spacing w:before="139"/>
        <w:ind w:left="260"/>
        <w:rPr>
          <w:rFonts w:ascii="Cambria" w:hAnsi="Cambria"/>
          <w:b/>
          <w:sz w:val="24"/>
        </w:rPr>
      </w:pPr>
      <w:r>
        <w:pict>
          <v:line id="_x0000_s1026" style="position:absolute;left:0;text-align:left;z-index:251657728;mso-wrap-distance-left:0;mso-wrap-distance-right:0;mso-position-horizontal-relative:page" from="52.55pt,25.45pt" to="789.45pt,25.45pt" strokeweight=".96pt">
            <w10:wrap type="topAndBottom" anchorx="page"/>
          </v:line>
        </w:pict>
      </w:r>
      <w:r>
        <w:rPr>
          <w:rFonts w:ascii="Cambria" w:hAnsi="Cambria"/>
          <w:b/>
          <w:sz w:val="24"/>
        </w:rPr>
        <w:t>Tids- og handlingsplan for APV og trivselsmåling</w:t>
      </w:r>
    </w:p>
    <w:p w:rsidR="00906826" w:rsidRDefault="00906826">
      <w:pPr>
        <w:pStyle w:val="Brdtekst"/>
        <w:spacing w:before="3"/>
        <w:rPr>
          <w:rFonts w:ascii="Cambria"/>
          <w:b/>
          <w:sz w:val="23"/>
          <w:u w:val="none"/>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413"/>
        <w:gridCol w:w="2836"/>
        <w:gridCol w:w="2524"/>
        <w:gridCol w:w="1163"/>
        <w:gridCol w:w="712"/>
        <w:gridCol w:w="710"/>
        <w:gridCol w:w="1106"/>
        <w:gridCol w:w="2016"/>
        <w:gridCol w:w="825"/>
      </w:tblGrid>
      <w:tr w:rsidR="00906826">
        <w:trPr>
          <w:trHeight w:val="618"/>
        </w:trPr>
        <w:tc>
          <w:tcPr>
            <w:tcW w:w="3150" w:type="dxa"/>
            <w:gridSpan w:val="2"/>
            <w:tcBorders>
              <w:bottom w:val="nil"/>
            </w:tcBorders>
            <w:shd w:val="clear" w:color="auto" w:fill="F3F3F3"/>
          </w:tcPr>
          <w:p w:rsidR="00906826" w:rsidRDefault="00851437">
            <w:pPr>
              <w:pStyle w:val="TableParagraph"/>
              <w:spacing w:before="114"/>
              <w:ind w:left="1010"/>
              <w:rPr>
                <w:b/>
                <w:sz w:val="20"/>
              </w:rPr>
            </w:pPr>
            <w:r>
              <w:rPr>
                <w:b/>
                <w:sz w:val="20"/>
              </w:rPr>
              <w:t>Identifikation</w:t>
            </w:r>
          </w:p>
        </w:tc>
        <w:tc>
          <w:tcPr>
            <w:tcW w:w="2836" w:type="dxa"/>
            <w:tcBorders>
              <w:bottom w:val="nil"/>
            </w:tcBorders>
            <w:shd w:val="clear" w:color="auto" w:fill="F3F3F3"/>
          </w:tcPr>
          <w:p w:rsidR="00906826" w:rsidRDefault="00851437">
            <w:pPr>
              <w:pStyle w:val="TableParagraph"/>
              <w:spacing w:before="114"/>
              <w:ind w:left="939" w:right="940"/>
              <w:jc w:val="center"/>
              <w:rPr>
                <w:b/>
                <w:sz w:val="20"/>
              </w:rPr>
            </w:pPr>
            <w:r>
              <w:rPr>
                <w:b/>
                <w:sz w:val="20"/>
              </w:rPr>
              <w:t>Analyse</w:t>
            </w:r>
          </w:p>
        </w:tc>
        <w:tc>
          <w:tcPr>
            <w:tcW w:w="3687" w:type="dxa"/>
            <w:gridSpan w:val="2"/>
            <w:tcBorders>
              <w:bottom w:val="nil"/>
            </w:tcBorders>
            <w:shd w:val="clear" w:color="auto" w:fill="F3F3F3"/>
          </w:tcPr>
          <w:p w:rsidR="00906826" w:rsidRDefault="00851437">
            <w:pPr>
              <w:pStyle w:val="TableParagraph"/>
              <w:spacing w:before="114"/>
              <w:ind w:left="1434" w:right="1435"/>
              <w:jc w:val="center"/>
              <w:rPr>
                <w:b/>
                <w:sz w:val="20"/>
              </w:rPr>
            </w:pPr>
            <w:r>
              <w:rPr>
                <w:b/>
                <w:sz w:val="20"/>
              </w:rPr>
              <w:t>Indsatser</w:t>
            </w:r>
          </w:p>
        </w:tc>
        <w:tc>
          <w:tcPr>
            <w:tcW w:w="1422" w:type="dxa"/>
            <w:gridSpan w:val="2"/>
            <w:tcBorders>
              <w:bottom w:val="nil"/>
            </w:tcBorders>
            <w:shd w:val="clear" w:color="auto" w:fill="F3F3F3"/>
          </w:tcPr>
          <w:p w:rsidR="00906826" w:rsidRDefault="00851437">
            <w:pPr>
              <w:pStyle w:val="TableParagraph"/>
              <w:spacing w:before="114"/>
              <w:ind w:left="556" w:right="560"/>
              <w:jc w:val="center"/>
              <w:rPr>
                <w:b/>
                <w:sz w:val="20"/>
              </w:rPr>
            </w:pPr>
            <w:r>
              <w:rPr>
                <w:b/>
                <w:sz w:val="20"/>
              </w:rPr>
              <w:t>Tid</w:t>
            </w:r>
          </w:p>
        </w:tc>
        <w:tc>
          <w:tcPr>
            <w:tcW w:w="3947" w:type="dxa"/>
            <w:gridSpan w:val="3"/>
            <w:tcBorders>
              <w:bottom w:val="nil"/>
            </w:tcBorders>
            <w:shd w:val="clear" w:color="auto" w:fill="F3F3F3"/>
          </w:tcPr>
          <w:p w:rsidR="00906826" w:rsidRDefault="00851437">
            <w:pPr>
              <w:pStyle w:val="TableParagraph"/>
              <w:spacing w:before="114"/>
              <w:ind w:left="1483" w:right="1495"/>
              <w:jc w:val="center"/>
              <w:rPr>
                <w:b/>
                <w:sz w:val="20"/>
              </w:rPr>
            </w:pPr>
            <w:r>
              <w:rPr>
                <w:b/>
                <w:sz w:val="20"/>
              </w:rPr>
              <w:t>Opfølgning</w:t>
            </w:r>
          </w:p>
        </w:tc>
      </w:tr>
      <w:tr w:rsidR="00906826">
        <w:trPr>
          <w:trHeight w:val="338"/>
        </w:trPr>
        <w:tc>
          <w:tcPr>
            <w:tcW w:w="737" w:type="dxa"/>
            <w:tcBorders>
              <w:top w:val="nil"/>
              <w:right w:val="single" w:sz="2" w:space="0" w:color="000000"/>
            </w:tcBorders>
            <w:shd w:val="clear" w:color="auto" w:fill="F3F3F3"/>
          </w:tcPr>
          <w:p w:rsidR="00906826" w:rsidRDefault="00851437">
            <w:pPr>
              <w:pStyle w:val="TableParagraph"/>
              <w:spacing w:before="1"/>
              <w:ind w:left="186"/>
              <w:rPr>
                <w:sz w:val="16"/>
              </w:rPr>
            </w:pPr>
            <w:r>
              <w:rPr>
                <w:sz w:val="16"/>
              </w:rPr>
              <w:t>Tema</w:t>
            </w:r>
          </w:p>
        </w:tc>
        <w:tc>
          <w:tcPr>
            <w:tcW w:w="2413" w:type="dxa"/>
            <w:tcBorders>
              <w:top w:val="nil"/>
              <w:left w:val="single" w:sz="2" w:space="0" w:color="000000"/>
            </w:tcBorders>
            <w:shd w:val="clear" w:color="auto" w:fill="F3F3F3"/>
          </w:tcPr>
          <w:p w:rsidR="00906826" w:rsidRDefault="00851437">
            <w:pPr>
              <w:pStyle w:val="TableParagraph"/>
              <w:spacing w:before="1"/>
              <w:ind w:left="777"/>
              <w:rPr>
                <w:sz w:val="16"/>
              </w:rPr>
            </w:pPr>
            <w:r>
              <w:rPr>
                <w:sz w:val="16"/>
              </w:rPr>
              <w:t>Risikoforhold</w:t>
            </w:r>
          </w:p>
        </w:tc>
        <w:tc>
          <w:tcPr>
            <w:tcW w:w="2836" w:type="dxa"/>
            <w:tcBorders>
              <w:top w:val="nil"/>
            </w:tcBorders>
            <w:shd w:val="clear" w:color="auto" w:fill="F3F3F3"/>
          </w:tcPr>
          <w:p w:rsidR="00906826" w:rsidRDefault="00851437">
            <w:pPr>
              <w:pStyle w:val="TableParagraph"/>
              <w:spacing w:before="1"/>
              <w:ind w:left="944" w:right="940"/>
              <w:jc w:val="center"/>
              <w:rPr>
                <w:sz w:val="16"/>
              </w:rPr>
            </w:pPr>
            <w:r>
              <w:rPr>
                <w:sz w:val="16"/>
              </w:rPr>
              <w:t>Bevæggrunde</w:t>
            </w:r>
          </w:p>
        </w:tc>
        <w:tc>
          <w:tcPr>
            <w:tcW w:w="2524" w:type="dxa"/>
            <w:tcBorders>
              <w:top w:val="nil"/>
              <w:right w:val="single" w:sz="2" w:space="0" w:color="000000"/>
            </w:tcBorders>
            <w:shd w:val="clear" w:color="auto" w:fill="F3F3F3"/>
          </w:tcPr>
          <w:p w:rsidR="00906826" w:rsidRDefault="00851437">
            <w:pPr>
              <w:pStyle w:val="TableParagraph"/>
              <w:spacing w:before="1"/>
              <w:ind w:left="610"/>
              <w:rPr>
                <w:sz w:val="16"/>
              </w:rPr>
            </w:pPr>
            <w:r>
              <w:rPr>
                <w:sz w:val="16"/>
              </w:rPr>
              <w:t>Forebyggende tiltag</w:t>
            </w:r>
          </w:p>
        </w:tc>
        <w:tc>
          <w:tcPr>
            <w:tcW w:w="1163" w:type="dxa"/>
            <w:tcBorders>
              <w:top w:val="nil"/>
              <w:left w:val="single" w:sz="2" w:space="0" w:color="000000"/>
            </w:tcBorders>
            <w:shd w:val="clear" w:color="auto" w:fill="F3F3F3"/>
          </w:tcPr>
          <w:p w:rsidR="00906826" w:rsidRDefault="00851437">
            <w:pPr>
              <w:pStyle w:val="TableParagraph"/>
              <w:spacing w:before="1"/>
              <w:ind w:left="282"/>
              <w:rPr>
                <w:sz w:val="16"/>
              </w:rPr>
            </w:pPr>
            <w:r>
              <w:rPr>
                <w:sz w:val="16"/>
              </w:rPr>
              <w:t>Ansvarlig</w:t>
            </w:r>
          </w:p>
        </w:tc>
        <w:tc>
          <w:tcPr>
            <w:tcW w:w="712" w:type="dxa"/>
            <w:tcBorders>
              <w:top w:val="nil"/>
              <w:right w:val="single" w:sz="2" w:space="0" w:color="000000"/>
            </w:tcBorders>
            <w:shd w:val="clear" w:color="auto" w:fill="F3F3F3"/>
          </w:tcPr>
          <w:p w:rsidR="00906826" w:rsidRDefault="00851437">
            <w:pPr>
              <w:pStyle w:val="TableParagraph"/>
              <w:spacing w:before="1"/>
              <w:ind w:left="192"/>
              <w:rPr>
                <w:sz w:val="16"/>
              </w:rPr>
            </w:pPr>
            <w:r>
              <w:rPr>
                <w:sz w:val="16"/>
              </w:rPr>
              <w:t>Start</w:t>
            </w:r>
          </w:p>
        </w:tc>
        <w:tc>
          <w:tcPr>
            <w:tcW w:w="710" w:type="dxa"/>
            <w:tcBorders>
              <w:top w:val="nil"/>
              <w:left w:val="single" w:sz="2" w:space="0" w:color="000000"/>
            </w:tcBorders>
            <w:shd w:val="clear" w:color="auto" w:fill="F3F3F3"/>
          </w:tcPr>
          <w:p w:rsidR="00906826" w:rsidRDefault="00851437">
            <w:pPr>
              <w:pStyle w:val="TableParagraph"/>
              <w:spacing w:before="1"/>
              <w:ind w:left="226"/>
              <w:rPr>
                <w:sz w:val="16"/>
              </w:rPr>
            </w:pPr>
            <w:r>
              <w:rPr>
                <w:sz w:val="16"/>
              </w:rPr>
              <w:t>Slut</w:t>
            </w:r>
          </w:p>
        </w:tc>
        <w:tc>
          <w:tcPr>
            <w:tcW w:w="1106" w:type="dxa"/>
            <w:tcBorders>
              <w:top w:val="nil"/>
              <w:right w:val="single" w:sz="2" w:space="0" w:color="000000"/>
            </w:tcBorders>
            <w:shd w:val="clear" w:color="auto" w:fill="F3F3F3"/>
          </w:tcPr>
          <w:p w:rsidR="00906826" w:rsidRDefault="00851437">
            <w:pPr>
              <w:pStyle w:val="TableParagraph"/>
              <w:spacing w:before="1"/>
              <w:ind w:left="279"/>
              <w:rPr>
                <w:sz w:val="16"/>
              </w:rPr>
            </w:pPr>
            <w:r>
              <w:rPr>
                <w:sz w:val="16"/>
              </w:rPr>
              <w:t>Hvornår</w:t>
            </w:r>
          </w:p>
        </w:tc>
        <w:tc>
          <w:tcPr>
            <w:tcW w:w="2016" w:type="dxa"/>
            <w:tcBorders>
              <w:top w:val="nil"/>
              <w:left w:val="single" w:sz="2" w:space="0" w:color="000000"/>
              <w:right w:val="single" w:sz="2" w:space="0" w:color="000000"/>
            </w:tcBorders>
            <w:shd w:val="clear" w:color="auto" w:fill="F3F3F3"/>
          </w:tcPr>
          <w:p w:rsidR="00906826" w:rsidRDefault="00851437">
            <w:pPr>
              <w:pStyle w:val="TableParagraph"/>
              <w:spacing w:before="1"/>
              <w:ind w:left="701" w:right="712"/>
              <w:jc w:val="center"/>
              <w:rPr>
                <w:sz w:val="16"/>
              </w:rPr>
            </w:pPr>
            <w:r>
              <w:rPr>
                <w:sz w:val="16"/>
              </w:rPr>
              <w:t>Hvordan</w:t>
            </w:r>
          </w:p>
        </w:tc>
        <w:tc>
          <w:tcPr>
            <w:tcW w:w="825" w:type="dxa"/>
            <w:tcBorders>
              <w:top w:val="nil"/>
              <w:left w:val="single" w:sz="2" w:space="0" w:color="000000"/>
            </w:tcBorders>
            <w:shd w:val="clear" w:color="auto" w:fill="F3F3F3"/>
          </w:tcPr>
          <w:p w:rsidR="00906826" w:rsidRDefault="00851437">
            <w:pPr>
              <w:pStyle w:val="TableParagraph"/>
              <w:spacing w:before="1"/>
              <w:ind w:left="105"/>
              <w:rPr>
                <w:sz w:val="16"/>
              </w:rPr>
            </w:pPr>
            <w:r>
              <w:rPr>
                <w:sz w:val="16"/>
              </w:rPr>
              <w:t>Ansvarlig</w:t>
            </w:r>
          </w:p>
        </w:tc>
      </w:tr>
      <w:tr w:rsidR="00906826">
        <w:trPr>
          <w:trHeight w:val="513"/>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Pr="00851437" w:rsidRDefault="00906826">
            <w:pPr>
              <w:pStyle w:val="TableParagraph"/>
              <w:rPr>
                <w:rFonts w:ascii="Times New Roman"/>
                <w:sz w:val="20"/>
                <w:lang w:val="da-DK"/>
              </w:rPr>
            </w:pPr>
            <w:bookmarkStart w:id="0" w:name="_GoBack"/>
            <w:bookmarkEnd w:id="0"/>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15"/>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13"/>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4"/>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4"/>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4"/>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4"/>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5"/>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4"/>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r w:rsidR="00906826">
        <w:trPr>
          <w:trHeight w:val="537"/>
        </w:trPr>
        <w:tc>
          <w:tcPr>
            <w:tcW w:w="737" w:type="dxa"/>
            <w:tcBorders>
              <w:right w:val="single" w:sz="2" w:space="0" w:color="000000"/>
            </w:tcBorders>
          </w:tcPr>
          <w:p w:rsidR="00906826" w:rsidRDefault="00906826">
            <w:pPr>
              <w:pStyle w:val="TableParagraph"/>
              <w:rPr>
                <w:rFonts w:ascii="Times New Roman"/>
                <w:sz w:val="20"/>
              </w:rPr>
            </w:pPr>
          </w:p>
        </w:tc>
        <w:tc>
          <w:tcPr>
            <w:tcW w:w="2413" w:type="dxa"/>
            <w:tcBorders>
              <w:left w:val="single" w:sz="2" w:space="0" w:color="000000"/>
            </w:tcBorders>
          </w:tcPr>
          <w:p w:rsidR="00906826" w:rsidRDefault="00906826">
            <w:pPr>
              <w:pStyle w:val="TableParagraph"/>
              <w:rPr>
                <w:rFonts w:ascii="Times New Roman"/>
                <w:sz w:val="20"/>
              </w:rPr>
            </w:pPr>
          </w:p>
        </w:tc>
        <w:tc>
          <w:tcPr>
            <w:tcW w:w="2836" w:type="dxa"/>
          </w:tcPr>
          <w:p w:rsidR="00906826" w:rsidRDefault="00906826">
            <w:pPr>
              <w:pStyle w:val="TableParagraph"/>
              <w:rPr>
                <w:rFonts w:ascii="Times New Roman"/>
                <w:sz w:val="20"/>
              </w:rPr>
            </w:pPr>
          </w:p>
        </w:tc>
        <w:tc>
          <w:tcPr>
            <w:tcW w:w="2524" w:type="dxa"/>
            <w:tcBorders>
              <w:right w:val="single" w:sz="2" w:space="0" w:color="000000"/>
            </w:tcBorders>
          </w:tcPr>
          <w:p w:rsidR="00906826" w:rsidRDefault="00906826">
            <w:pPr>
              <w:pStyle w:val="TableParagraph"/>
              <w:rPr>
                <w:rFonts w:ascii="Times New Roman"/>
                <w:sz w:val="20"/>
              </w:rPr>
            </w:pPr>
          </w:p>
        </w:tc>
        <w:tc>
          <w:tcPr>
            <w:tcW w:w="1163" w:type="dxa"/>
            <w:tcBorders>
              <w:left w:val="single" w:sz="2" w:space="0" w:color="000000"/>
            </w:tcBorders>
          </w:tcPr>
          <w:p w:rsidR="00906826" w:rsidRDefault="00906826">
            <w:pPr>
              <w:pStyle w:val="TableParagraph"/>
              <w:rPr>
                <w:rFonts w:ascii="Times New Roman"/>
                <w:sz w:val="20"/>
              </w:rPr>
            </w:pPr>
          </w:p>
        </w:tc>
        <w:tc>
          <w:tcPr>
            <w:tcW w:w="712" w:type="dxa"/>
            <w:tcBorders>
              <w:right w:val="single" w:sz="2" w:space="0" w:color="000000"/>
            </w:tcBorders>
          </w:tcPr>
          <w:p w:rsidR="00906826" w:rsidRDefault="00906826">
            <w:pPr>
              <w:pStyle w:val="TableParagraph"/>
              <w:rPr>
                <w:rFonts w:ascii="Times New Roman"/>
                <w:sz w:val="20"/>
              </w:rPr>
            </w:pPr>
          </w:p>
        </w:tc>
        <w:tc>
          <w:tcPr>
            <w:tcW w:w="710" w:type="dxa"/>
            <w:tcBorders>
              <w:left w:val="single" w:sz="2" w:space="0" w:color="000000"/>
            </w:tcBorders>
          </w:tcPr>
          <w:p w:rsidR="00906826" w:rsidRDefault="00906826">
            <w:pPr>
              <w:pStyle w:val="TableParagraph"/>
              <w:rPr>
                <w:rFonts w:ascii="Times New Roman"/>
                <w:sz w:val="20"/>
              </w:rPr>
            </w:pPr>
          </w:p>
        </w:tc>
        <w:tc>
          <w:tcPr>
            <w:tcW w:w="1106" w:type="dxa"/>
            <w:tcBorders>
              <w:right w:val="single" w:sz="2" w:space="0" w:color="000000"/>
            </w:tcBorders>
          </w:tcPr>
          <w:p w:rsidR="00906826" w:rsidRDefault="00906826">
            <w:pPr>
              <w:pStyle w:val="TableParagraph"/>
              <w:rPr>
                <w:rFonts w:ascii="Times New Roman"/>
                <w:sz w:val="20"/>
              </w:rPr>
            </w:pPr>
          </w:p>
        </w:tc>
        <w:tc>
          <w:tcPr>
            <w:tcW w:w="2016" w:type="dxa"/>
            <w:tcBorders>
              <w:left w:val="single" w:sz="2" w:space="0" w:color="000000"/>
              <w:right w:val="single" w:sz="2" w:space="0" w:color="000000"/>
            </w:tcBorders>
          </w:tcPr>
          <w:p w:rsidR="00906826" w:rsidRDefault="00906826">
            <w:pPr>
              <w:pStyle w:val="TableParagraph"/>
              <w:rPr>
                <w:rFonts w:ascii="Times New Roman"/>
                <w:sz w:val="20"/>
              </w:rPr>
            </w:pPr>
          </w:p>
        </w:tc>
        <w:tc>
          <w:tcPr>
            <w:tcW w:w="825" w:type="dxa"/>
            <w:tcBorders>
              <w:left w:val="single" w:sz="2" w:space="0" w:color="000000"/>
            </w:tcBorders>
          </w:tcPr>
          <w:p w:rsidR="00906826" w:rsidRDefault="00906826">
            <w:pPr>
              <w:pStyle w:val="TableParagraph"/>
              <w:rPr>
                <w:rFonts w:ascii="Times New Roman"/>
                <w:sz w:val="20"/>
              </w:rPr>
            </w:pPr>
          </w:p>
        </w:tc>
      </w:tr>
    </w:tbl>
    <w:p w:rsidR="00906826" w:rsidRDefault="00906826">
      <w:pPr>
        <w:pStyle w:val="Brdtekst"/>
        <w:rPr>
          <w:rFonts w:ascii="Cambria"/>
          <w:b/>
          <w:sz w:val="20"/>
          <w:u w:val="none"/>
        </w:rPr>
      </w:pPr>
    </w:p>
    <w:p w:rsidR="00906826" w:rsidRDefault="00906826">
      <w:pPr>
        <w:pStyle w:val="Brdtekst"/>
        <w:spacing w:before="6"/>
        <w:rPr>
          <w:rFonts w:ascii="Cambria"/>
          <w:b/>
          <w:sz w:val="18"/>
          <w:u w:val="none"/>
        </w:rPr>
      </w:pPr>
    </w:p>
    <w:p w:rsidR="00906826" w:rsidRDefault="00851437">
      <w:pPr>
        <w:pStyle w:val="Overskrift1"/>
        <w:spacing w:before="56"/>
      </w:pPr>
      <w:r>
        <w:t>Identifikation</w:t>
      </w:r>
    </w:p>
    <w:p w:rsidR="00906826" w:rsidRDefault="00906826">
      <w:pPr>
        <w:pStyle w:val="Brdtekst"/>
        <w:spacing w:before="9"/>
        <w:rPr>
          <w:b/>
          <w:sz w:val="19"/>
          <w:u w:val="none"/>
        </w:rPr>
      </w:pPr>
    </w:p>
    <w:p w:rsidR="00906826" w:rsidRDefault="00851437">
      <w:pPr>
        <w:pStyle w:val="Brdtekst"/>
        <w:spacing w:line="273" w:lineRule="auto"/>
        <w:ind w:left="260" w:right="1028"/>
        <w:rPr>
          <w:u w:val="none"/>
        </w:rPr>
      </w:pPr>
      <w:r>
        <w:rPr>
          <w:u w:val="none"/>
        </w:rPr>
        <w:t>I denne kolonne beskrives de risikoforhold, som kan have en indflydelse på arbejdsmiljøet i enheden, både de problemstillinger, der har en negativ effekt på arbejdsmiljøet, og de positive forhold, der kan styrke arbejdsmiljøet.</w:t>
      </w:r>
    </w:p>
    <w:p w:rsidR="00906826" w:rsidRDefault="00906826">
      <w:pPr>
        <w:pStyle w:val="Brdtekst"/>
        <w:spacing w:before="9"/>
        <w:rPr>
          <w:sz w:val="16"/>
          <w:u w:val="none"/>
        </w:rPr>
      </w:pPr>
    </w:p>
    <w:p w:rsidR="00906826" w:rsidRDefault="00851437">
      <w:pPr>
        <w:pStyle w:val="Listeafsnit"/>
        <w:numPr>
          <w:ilvl w:val="0"/>
          <w:numId w:val="1"/>
        </w:numPr>
        <w:tabs>
          <w:tab w:val="left" w:pos="619"/>
          <w:tab w:val="left" w:pos="620"/>
        </w:tabs>
        <w:rPr>
          <w:u w:val="none"/>
        </w:rPr>
      </w:pPr>
      <w:r>
        <w:t>Tema</w:t>
      </w:r>
      <w:r>
        <w:rPr>
          <w:u w:val="none"/>
        </w:rPr>
        <w:t>: Hvis der identificere</w:t>
      </w:r>
      <w:r>
        <w:rPr>
          <w:u w:val="none"/>
        </w:rPr>
        <w:t>s flere risikoforhold inden for samme område, kan de med fordel puljes til samlede tematikker i</w:t>
      </w:r>
      <w:r>
        <w:rPr>
          <w:spacing w:val="-27"/>
          <w:u w:val="none"/>
        </w:rPr>
        <w:t xml:space="preserve"> </w:t>
      </w:r>
      <w:r>
        <w:rPr>
          <w:u w:val="none"/>
        </w:rPr>
        <w:t>handlingsplanen.</w:t>
      </w:r>
    </w:p>
    <w:p w:rsidR="00906826" w:rsidRDefault="00906826">
      <w:pPr>
        <w:sectPr w:rsidR="00906826">
          <w:footerReference w:type="default" r:id="rId7"/>
          <w:type w:val="continuous"/>
          <w:pgSz w:w="16840" w:h="11910" w:orient="landscape"/>
          <w:pgMar w:top="1100" w:right="760" w:bottom="1200" w:left="820" w:header="708" w:footer="1000" w:gutter="0"/>
          <w:pgNumType w:start="1"/>
          <w:cols w:space="708"/>
        </w:sectPr>
      </w:pPr>
    </w:p>
    <w:p w:rsidR="00906826" w:rsidRDefault="00851437">
      <w:pPr>
        <w:pStyle w:val="Listeafsnit"/>
        <w:numPr>
          <w:ilvl w:val="0"/>
          <w:numId w:val="1"/>
        </w:numPr>
        <w:tabs>
          <w:tab w:val="left" w:pos="619"/>
          <w:tab w:val="left" w:pos="620"/>
        </w:tabs>
        <w:spacing w:before="139" w:line="273" w:lineRule="auto"/>
        <w:ind w:right="1453"/>
        <w:rPr>
          <w:u w:val="none"/>
        </w:rPr>
      </w:pPr>
      <w:r>
        <w:lastRenderedPageBreak/>
        <w:t>Risikoforhold</w:t>
      </w:r>
      <w:r>
        <w:rPr>
          <w:u w:val="none"/>
        </w:rPr>
        <w:t>: Det er vigtigt a</w:t>
      </w:r>
      <w:r>
        <w:rPr>
          <w:u w:val="none"/>
        </w:rPr>
        <w:t>t have en helhedsorienteret tilgang til identifikationen ved at indtænke viden fra flere kilder fx fra interne runderinger, beredskabsplan, tilsyn, APV og Trivselsmåling, ulykker, ny lovgivning</w:t>
      </w:r>
      <w:r>
        <w:rPr>
          <w:spacing w:val="-4"/>
          <w:u w:val="none"/>
        </w:rPr>
        <w:t xml:space="preserve"> </w:t>
      </w:r>
      <w:r>
        <w:rPr>
          <w:u w:val="none"/>
        </w:rPr>
        <w:t>etc.</w:t>
      </w:r>
    </w:p>
    <w:p w:rsidR="00906826" w:rsidRDefault="00906826">
      <w:pPr>
        <w:pStyle w:val="Brdtekst"/>
        <w:spacing w:before="8"/>
        <w:rPr>
          <w:sz w:val="16"/>
          <w:u w:val="none"/>
        </w:rPr>
      </w:pPr>
    </w:p>
    <w:p w:rsidR="00906826" w:rsidRDefault="00851437">
      <w:pPr>
        <w:pStyle w:val="Overskrift1"/>
      </w:pPr>
      <w:r>
        <w:t>Analyse</w:t>
      </w:r>
    </w:p>
    <w:p w:rsidR="00906826" w:rsidRDefault="00906826">
      <w:pPr>
        <w:pStyle w:val="Brdtekst"/>
        <w:spacing w:before="8"/>
        <w:rPr>
          <w:b/>
          <w:sz w:val="19"/>
          <w:u w:val="none"/>
        </w:rPr>
      </w:pPr>
    </w:p>
    <w:p w:rsidR="00906826" w:rsidRDefault="00851437">
      <w:pPr>
        <w:pStyle w:val="Brdtekst"/>
        <w:ind w:left="260"/>
        <w:rPr>
          <w:u w:val="none"/>
        </w:rPr>
      </w:pPr>
      <w:r>
        <w:rPr>
          <w:u w:val="none"/>
        </w:rPr>
        <w:t>I denne kolonne skal der beskrives hvilke bevæggrunde der er for hvorfor det enkelte forhold betragtes som et risikoforhold.</w:t>
      </w:r>
    </w:p>
    <w:p w:rsidR="00906826" w:rsidRDefault="00906826">
      <w:pPr>
        <w:pStyle w:val="Brdtekst"/>
        <w:spacing w:before="9"/>
        <w:rPr>
          <w:sz w:val="19"/>
          <w:u w:val="none"/>
        </w:rPr>
      </w:pPr>
    </w:p>
    <w:p w:rsidR="00906826" w:rsidRDefault="00851437">
      <w:pPr>
        <w:pStyle w:val="Listeafsnit"/>
        <w:numPr>
          <w:ilvl w:val="0"/>
          <w:numId w:val="1"/>
        </w:numPr>
        <w:tabs>
          <w:tab w:val="left" w:pos="619"/>
          <w:tab w:val="left" w:pos="620"/>
        </w:tabs>
        <w:spacing w:line="276" w:lineRule="auto"/>
        <w:ind w:right="594"/>
        <w:rPr>
          <w:u w:val="none"/>
        </w:rPr>
      </w:pPr>
      <w:r>
        <w:t>Bevæggrunde</w:t>
      </w:r>
      <w:r>
        <w:rPr>
          <w:u w:val="none"/>
        </w:rPr>
        <w:t>: Det skal vurderes, hvad sandsynligheden er for, at risikoforholdet udvikler sig negativt eller positivt, herunder hva</w:t>
      </w:r>
      <w:r>
        <w:rPr>
          <w:u w:val="none"/>
        </w:rPr>
        <w:t>d konsekvensen er, hvis der ikke gøres noget. Dertil skal der foretages en vurdering af hvilke umiddelbare årsager samt bagvedliggende årsager, der ligger til grund for risikoen og om der kan identificeres mønstre. Til brug i dette arbejde kan man evt. ben</w:t>
      </w:r>
      <w:r>
        <w:rPr>
          <w:u w:val="none"/>
        </w:rPr>
        <w:t>ytte metoden ‘Hypotesedannelse’, som er beskrevet i slides om “</w:t>
      </w:r>
      <w:hyperlink r:id="rId8">
        <w:r>
          <w:t>den gode</w:t>
        </w:r>
        <w:r>
          <w:rPr>
            <w:spacing w:val="-29"/>
          </w:rPr>
          <w:t xml:space="preserve"> </w:t>
        </w:r>
        <w:r>
          <w:t>dialog</w:t>
        </w:r>
      </w:hyperlink>
      <w:r>
        <w:rPr>
          <w:u w:val="none"/>
        </w:rPr>
        <w:t>".</w:t>
      </w:r>
    </w:p>
    <w:p w:rsidR="00906826" w:rsidRDefault="00906826">
      <w:pPr>
        <w:pStyle w:val="Brdtekst"/>
        <w:spacing w:before="11"/>
        <w:rPr>
          <w:sz w:val="11"/>
          <w:u w:val="none"/>
        </w:rPr>
      </w:pPr>
    </w:p>
    <w:p w:rsidR="00906826" w:rsidRDefault="00851437">
      <w:pPr>
        <w:pStyle w:val="Overskrift1"/>
        <w:spacing w:before="57"/>
      </w:pPr>
      <w:r>
        <w:t>Indsatser</w:t>
      </w:r>
    </w:p>
    <w:p w:rsidR="00906826" w:rsidRDefault="00906826">
      <w:pPr>
        <w:pStyle w:val="Brdtekst"/>
        <w:spacing w:before="8"/>
        <w:rPr>
          <w:b/>
          <w:sz w:val="19"/>
          <w:u w:val="none"/>
        </w:rPr>
      </w:pPr>
    </w:p>
    <w:p w:rsidR="00906826" w:rsidRDefault="00851437">
      <w:pPr>
        <w:pStyle w:val="Brdtekst"/>
        <w:ind w:left="260"/>
        <w:rPr>
          <w:u w:val="none"/>
        </w:rPr>
      </w:pPr>
      <w:r>
        <w:rPr>
          <w:u w:val="none"/>
        </w:rPr>
        <w:t>I denne kolonne beskrives hvilke indsa</w:t>
      </w:r>
      <w:r>
        <w:rPr>
          <w:u w:val="none"/>
        </w:rPr>
        <w:t>tser, der skal igangsættes.</w:t>
      </w:r>
    </w:p>
    <w:p w:rsidR="00906826" w:rsidRDefault="00906826">
      <w:pPr>
        <w:pStyle w:val="Brdtekst"/>
        <w:spacing w:before="8"/>
        <w:rPr>
          <w:sz w:val="19"/>
          <w:u w:val="none"/>
        </w:rPr>
      </w:pPr>
    </w:p>
    <w:p w:rsidR="00906826" w:rsidRDefault="00851437">
      <w:pPr>
        <w:pStyle w:val="Listeafsnit"/>
        <w:numPr>
          <w:ilvl w:val="0"/>
          <w:numId w:val="1"/>
        </w:numPr>
        <w:tabs>
          <w:tab w:val="left" w:pos="619"/>
          <w:tab w:val="left" w:pos="620"/>
        </w:tabs>
        <w:spacing w:before="1" w:line="273" w:lineRule="auto"/>
        <w:ind w:right="630"/>
        <w:rPr>
          <w:u w:val="none"/>
        </w:rPr>
      </w:pPr>
      <w:r>
        <w:t>Forebyggende tiltag</w:t>
      </w:r>
      <w:r>
        <w:rPr>
          <w:u w:val="none"/>
        </w:rPr>
        <w:t>: Det skal vurderes hvordan risikoen kan styres, så den ikke udvikler sig til et arbejdsmiljøproblem eller så problemet minimeres. Indtænk acceptgrænserne - kan udfordringen fjernes, styres, overvåges eller k</w:t>
      </w:r>
      <w:r>
        <w:rPr>
          <w:u w:val="none"/>
        </w:rPr>
        <w:t>an vi lade stå</w:t>
      </w:r>
      <w:r>
        <w:rPr>
          <w:spacing w:val="-11"/>
          <w:u w:val="none"/>
        </w:rPr>
        <w:t xml:space="preserve"> </w:t>
      </w:r>
      <w:r>
        <w:rPr>
          <w:u w:val="none"/>
        </w:rPr>
        <w:t>til?</w:t>
      </w:r>
    </w:p>
    <w:p w:rsidR="00906826" w:rsidRDefault="00851437">
      <w:pPr>
        <w:pStyle w:val="Brdtekst"/>
        <w:spacing w:before="4"/>
        <w:ind w:left="620"/>
        <w:rPr>
          <w:u w:val="none"/>
        </w:rPr>
      </w:pPr>
      <w:r>
        <w:rPr>
          <w:u w:val="none"/>
        </w:rPr>
        <w:t>Sæt ikke kun fokus på håndteringsdelen, men i endnu højere grad fokus på, hvordan risikoen forebygges/ikke gentages.</w:t>
      </w:r>
    </w:p>
    <w:p w:rsidR="00906826" w:rsidRDefault="00851437">
      <w:pPr>
        <w:pStyle w:val="Brdtekst"/>
        <w:spacing w:before="41"/>
        <w:ind w:left="620"/>
        <w:rPr>
          <w:u w:val="none"/>
        </w:rPr>
      </w:pPr>
      <w:r>
        <w:rPr>
          <w:u w:val="none"/>
        </w:rPr>
        <w:t>Indtænk flere handlingsniveauer: Hvad kan individet, gruppen, ledelsen og organisationen gøre (IGLO). Se eksempel på, hvordan modellen kan benyttes i</w:t>
      </w:r>
    </w:p>
    <w:p w:rsidR="00906826" w:rsidRDefault="00851437">
      <w:pPr>
        <w:pStyle w:val="Brdtekst"/>
        <w:spacing w:before="39"/>
        <w:ind w:left="620"/>
        <w:rPr>
          <w:u w:val="none"/>
        </w:rPr>
      </w:pPr>
      <w:r>
        <w:rPr>
          <w:u w:val="none"/>
        </w:rPr>
        <w:t>“</w:t>
      </w:r>
      <w:hyperlink r:id="rId9">
        <w:r>
          <w:t>Håndtering og forebyggelse af krænkende adfærd</w:t>
        </w:r>
      </w:hyperlink>
      <w:r>
        <w:rPr>
          <w:u w:val="none"/>
        </w:rPr>
        <w:t>”. (Dokumentet bliver lagt på SDUnet snarest muligt)</w:t>
      </w:r>
    </w:p>
    <w:p w:rsidR="00906826" w:rsidRDefault="00851437">
      <w:pPr>
        <w:pStyle w:val="Listeafsnit"/>
        <w:numPr>
          <w:ilvl w:val="0"/>
          <w:numId w:val="1"/>
        </w:numPr>
        <w:tabs>
          <w:tab w:val="left" w:pos="619"/>
          <w:tab w:val="left" w:pos="620"/>
        </w:tabs>
        <w:spacing w:before="41"/>
        <w:rPr>
          <w:u w:val="none"/>
        </w:rPr>
      </w:pPr>
      <w:r>
        <w:t>Ansvarlig</w:t>
      </w:r>
      <w:r>
        <w:rPr>
          <w:u w:val="none"/>
        </w:rPr>
        <w:t>: Der skal angives en ansvarlig person for fasen</w:t>
      </w:r>
      <w:r>
        <w:rPr>
          <w:spacing w:val="-14"/>
          <w:u w:val="none"/>
        </w:rPr>
        <w:t xml:space="preserve"> </w:t>
      </w:r>
      <w:r>
        <w:rPr>
          <w:u w:val="none"/>
        </w:rPr>
        <w:t>Indsatser.</w:t>
      </w:r>
    </w:p>
    <w:p w:rsidR="00906826" w:rsidRDefault="00906826">
      <w:pPr>
        <w:pStyle w:val="Brdtekst"/>
        <w:spacing w:before="1"/>
        <w:rPr>
          <w:sz w:val="15"/>
          <w:u w:val="none"/>
        </w:rPr>
      </w:pPr>
    </w:p>
    <w:p w:rsidR="00906826" w:rsidRDefault="00851437">
      <w:pPr>
        <w:pStyle w:val="Overskrift1"/>
        <w:spacing w:before="57"/>
      </w:pPr>
      <w:r>
        <w:t>Tid</w:t>
      </w:r>
    </w:p>
    <w:p w:rsidR="00906826" w:rsidRDefault="00906826">
      <w:pPr>
        <w:pStyle w:val="Brdtekst"/>
        <w:spacing w:before="8"/>
        <w:rPr>
          <w:b/>
          <w:sz w:val="19"/>
          <w:u w:val="none"/>
        </w:rPr>
      </w:pPr>
    </w:p>
    <w:p w:rsidR="00906826" w:rsidRDefault="00851437">
      <w:pPr>
        <w:pStyle w:val="Brdtekst"/>
        <w:ind w:left="260"/>
        <w:rPr>
          <w:u w:val="none"/>
        </w:rPr>
      </w:pPr>
      <w:r>
        <w:rPr>
          <w:u w:val="none"/>
        </w:rPr>
        <w:t>I denne kolonne angives hvornår indsatsen gennemføres. Angiv hvornår indsatsen startes op og hvornår den skal være færdig.</w:t>
      </w:r>
    </w:p>
    <w:p w:rsidR="00906826" w:rsidRDefault="00906826">
      <w:pPr>
        <w:pStyle w:val="Brdtekst"/>
        <w:spacing w:before="8"/>
        <w:rPr>
          <w:sz w:val="19"/>
          <w:u w:val="none"/>
        </w:rPr>
      </w:pPr>
    </w:p>
    <w:p w:rsidR="00906826" w:rsidRDefault="00851437">
      <w:pPr>
        <w:pStyle w:val="Listeafsnit"/>
        <w:numPr>
          <w:ilvl w:val="0"/>
          <w:numId w:val="1"/>
        </w:numPr>
        <w:tabs>
          <w:tab w:val="left" w:pos="619"/>
          <w:tab w:val="left" w:pos="620"/>
        </w:tabs>
        <w:rPr>
          <w:u w:val="none"/>
        </w:rPr>
      </w:pPr>
      <w:r>
        <w:t>Start</w:t>
      </w:r>
      <w:r>
        <w:rPr>
          <w:u w:val="none"/>
        </w:rPr>
        <w:t>: Datoen for hvornår arbejdet med indsatsen blev igangsat/bliver</w:t>
      </w:r>
      <w:r>
        <w:rPr>
          <w:spacing w:val="-7"/>
          <w:u w:val="none"/>
        </w:rPr>
        <w:t xml:space="preserve"> </w:t>
      </w:r>
      <w:r>
        <w:rPr>
          <w:u w:val="none"/>
        </w:rPr>
        <w:t>igangsat.</w:t>
      </w:r>
    </w:p>
    <w:p w:rsidR="00906826" w:rsidRDefault="00851437">
      <w:pPr>
        <w:pStyle w:val="Listeafsnit"/>
        <w:numPr>
          <w:ilvl w:val="0"/>
          <w:numId w:val="1"/>
        </w:numPr>
        <w:tabs>
          <w:tab w:val="left" w:pos="619"/>
          <w:tab w:val="left" w:pos="620"/>
        </w:tabs>
        <w:spacing w:before="39" w:line="276" w:lineRule="auto"/>
        <w:ind w:right="583"/>
        <w:rPr>
          <w:u w:val="none"/>
        </w:rPr>
      </w:pPr>
      <w:r>
        <w:t>Slut</w:t>
      </w:r>
      <w:r>
        <w:rPr>
          <w:u w:val="none"/>
        </w:rPr>
        <w:t xml:space="preserve">: Særligt slutdatoen er vigtig, da man herefter </w:t>
      </w:r>
      <w:r>
        <w:rPr>
          <w:u w:val="none"/>
        </w:rPr>
        <w:t xml:space="preserve">skal følge op og evaluere på indsatsen. Overvej både hvad der er realistisk, men vær også bevidst om væsentligheden af problemet. Hvor farligt er det? Så hvor længe kan man vente med en løsning? En mulighed er at sætte en lidt længere frist, men med flere </w:t>
      </w:r>
      <w:r>
        <w:rPr>
          <w:u w:val="none"/>
        </w:rPr>
        <w:t>delmål ift. midlertidige foranstaltninger med kortere</w:t>
      </w:r>
      <w:r>
        <w:rPr>
          <w:spacing w:val="-1"/>
          <w:u w:val="none"/>
        </w:rPr>
        <w:t xml:space="preserve"> </w:t>
      </w:r>
      <w:r>
        <w:rPr>
          <w:u w:val="none"/>
        </w:rPr>
        <w:t>frister.</w:t>
      </w:r>
    </w:p>
    <w:p w:rsidR="00906826" w:rsidRDefault="00906826">
      <w:pPr>
        <w:pStyle w:val="Brdtekst"/>
        <w:spacing w:before="7"/>
        <w:rPr>
          <w:sz w:val="16"/>
          <w:u w:val="none"/>
        </w:rPr>
      </w:pPr>
    </w:p>
    <w:p w:rsidR="00906826" w:rsidRDefault="00851437">
      <w:pPr>
        <w:pStyle w:val="Overskrift1"/>
      </w:pPr>
      <w:r>
        <w:t>Opfølgning</w:t>
      </w:r>
    </w:p>
    <w:p w:rsidR="00906826" w:rsidRDefault="00906826">
      <w:pPr>
        <w:pStyle w:val="Brdtekst"/>
        <w:spacing w:before="8"/>
        <w:rPr>
          <w:b/>
          <w:sz w:val="19"/>
          <w:u w:val="none"/>
        </w:rPr>
      </w:pPr>
    </w:p>
    <w:p w:rsidR="00906826" w:rsidRDefault="00851437">
      <w:pPr>
        <w:pStyle w:val="Brdtekst"/>
        <w:ind w:left="260"/>
        <w:rPr>
          <w:u w:val="none"/>
        </w:rPr>
      </w:pPr>
      <w:r>
        <w:rPr>
          <w:u w:val="none"/>
        </w:rPr>
        <w:t>I denne kolonne fastlægges planen for opfølgning på om indsatsen er gennemført, løser det identificerede risikoforhold på en varig holdbar måde.</w:t>
      </w:r>
    </w:p>
    <w:p w:rsidR="00906826" w:rsidRDefault="00906826">
      <w:pPr>
        <w:sectPr w:rsidR="00906826">
          <w:pgSz w:w="16840" w:h="11910" w:orient="landscape"/>
          <w:pgMar w:top="1100" w:right="760" w:bottom="1200" w:left="820" w:header="0" w:footer="1000" w:gutter="0"/>
          <w:cols w:space="708"/>
        </w:sectPr>
      </w:pPr>
    </w:p>
    <w:p w:rsidR="00906826" w:rsidRDefault="00851437">
      <w:pPr>
        <w:pStyle w:val="Listeafsnit"/>
        <w:numPr>
          <w:ilvl w:val="0"/>
          <w:numId w:val="1"/>
        </w:numPr>
        <w:tabs>
          <w:tab w:val="left" w:pos="619"/>
          <w:tab w:val="left" w:pos="620"/>
        </w:tabs>
        <w:spacing w:before="139"/>
        <w:rPr>
          <w:u w:val="none"/>
        </w:rPr>
      </w:pPr>
      <w:r>
        <w:lastRenderedPageBreak/>
        <w:t>Hvornår</w:t>
      </w:r>
      <w:r>
        <w:rPr>
          <w:u w:val="none"/>
        </w:rPr>
        <w:t>: Er der</w:t>
      </w:r>
      <w:r>
        <w:rPr>
          <w:u w:val="none"/>
        </w:rPr>
        <w:t xml:space="preserve"> behov for en midtvejsevaluering, så der er mulighed for at foretage korrigerende</w:t>
      </w:r>
      <w:r>
        <w:rPr>
          <w:spacing w:val="-17"/>
          <w:u w:val="none"/>
        </w:rPr>
        <w:t xml:space="preserve"> </w:t>
      </w:r>
      <w:r>
        <w:rPr>
          <w:u w:val="none"/>
        </w:rPr>
        <w:t>handlinger?</w:t>
      </w:r>
    </w:p>
    <w:p w:rsidR="00906826" w:rsidRDefault="00851437">
      <w:pPr>
        <w:pStyle w:val="Listeafsnit"/>
        <w:numPr>
          <w:ilvl w:val="0"/>
          <w:numId w:val="1"/>
        </w:numPr>
        <w:tabs>
          <w:tab w:val="left" w:pos="619"/>
          <w:tab w:val="left" w:pos="620"/>
        </w:tabs>
        <w:spacing w:before="39"/>
        <w:rPr>
          <w:u w:val="none"/>
        </w:rPr>
      </w:pPr>
      <w:r>
        <w:t>Hvordan</w:t>
      </w:r>
      <w:r>
        <w:rPr>
          <w:u w:val="none"/>
        </w:rPr>
        <w:t>: Skal der følges op samtidig på hele indsatsen eller er der behov for opfølgning på de forskellige delmål</w:t>
      </w:r>
      <w:r>
        <w:rPr>
          <w:spacing w:val="-24"/>
          <w:u w:val="none"/>
        </w:rPr>
        <w:t xml:space="preserve"> </w:t>
      </w:r>
      <w:r>
        <w:rPr>
          <w:u w:val="none"/>
        </w:rPr>
        <w:t>løbende?</w:t>
      </w:r>
    </w:p>
    <w:p w:rsidR="00906826" w:rsidRDefault="00851437">
      <w:pPr>
        <w:pStyle w:val="Listeafsnit"/>
        <w:numPr>
          <w:ilvl w:val="0"/>
          <w:numId w:val="1"/>
        </w:numPr>
        <w:tabs>
          <w:tab w:val="left" w:pos="619"/>
          <w:tab w:val="left" w:pos="620"/>
        </w:tabs>
        <w:spacing w:before="41"/>
        <w:rPr>
          <w:u w:val="none"/>
        </w:rPr>
      </w:pPr>
      <w:r>
        <w:t>Ansvarlig</w:t>
      </w:r>
      <w:r>
        <w:rPr>
          <w:u w:val="none"/>
        </w:rPr>
        <w:t>: Der skal aves en ansvarlig p</w:t>
      </w:r>
      <w:r>
        <w:rPr>
          <w:u w:val="none"/>
        </w:rPr>
        <w:t>erson for fasen</w:t>
      </w:r>
      <w:r>
        <w:rPr>
          <w:spacing w:val="-14"/>
          <w:u w:val="none"/>
        </w:rPr>
        <w:t xml:space="preserve"> </w:t>
      </w:r>
      <w:r>
        <w:rPr>
          <w:u w:val="none"/>
        </w:rPr>
        <w:t>Opfølgning.</w:t>
      </w:r>
    </w:p>
    <w:p w:rsidR="00906826" w:rsidRDefault="00906826">
      <w:pPr>
        <w:pStyle w:val="Brdtekst"/>
        <w:rPr>
          <w:sz w:val="20"/>
          <w:u w:val="none"/>
        </w:rPr>
      </w:pPr>
    </w:p>
    <w:p w:rsidR="00906826" w:rsidRDefault="00906826">
      <w:pPr>
        <w:pStyle w:val="Brdtekst"/>
        <w:rPr>
          <w:sz w:val="20"/>
          <w:u w:val="none"/>
        </w:rPr>
      </w:pPr>
    </w:p>
    <w:p w:rsidR="00906826" w:rsidRDefault="00906826">
      <w:pPr>
        <w:pStyle w:val="Brdtekst"/>
        <w:spacing w:before="9"/>
        <w:rPr>
          <w:sz w:val="16"/>
          <w:u w:val="none"/>
        </w:rPr>
      </w:pPr>
    </w:p>
    <w:p w:rsidR="00906826" w:rsidRDefault="00851437">
      <w:pPr>
        <w:pStyle w:val="Brdtekst"/>
        <w:spacing w:before="57"/>
        <w:ind w:left="260"/>
        <w:rPr>
          <w:u w:val="none"/>
        </w:rPr>
      </w:pPr>
      <w:r>
        <w:rPr>
          <w:u w:val="none"/>
        </w:rPr>
        <w:t xml:space="preserve">Læs mere om APV processen under </w:t>
      </w:r>
      <w:hyperlink r:id="rId10">
        <w:r>
          <w:rPr>
            <w:color w:val="0000FF"/>
            <w:u w:color="0000FF"/>
          </w:rPr>
          <w:t>trin 5</w:t>
        </w:r>
        <w:r>
          <w:rPr>
            <w:color w:val="0000FF"/>
            <w:u w:val="none"/>
          </w:rPr>
          <w:t xml:space="preserve"> </w:t>
        </w:r>
      </w:hyperlink>
      <w:r>
        <w:rPr>
          <w:u w:val="none"/>
        </w:rPr>
        <w:t xml:space="preserve">og </w:t>
      </w:r>
      <w:hyperlink r:id="rId11">
        <w:r>
          <w:rPr>
            <w:color w:val="0000FF"/>
            <w:u w:color="0000FF"/>
          </w:rPr>
          <w:t>trin 6</w:t>
        </w:r>
        <w:r>
          <w:rPr>
            <w:color w:val="0000FF"/>
            <w:u w:val="none"/>
          </w:rPr>
          <w:t xml:space="preserve"> </w:t>
        </w:r>
      </w:hyperlink>
      <w:r>
        <w:rPr>
          <w:u w:val="none"/>
        </w:rPr>
        <w:t>på SDUnet.</w:t>
      </w:r>
    </w:p>
    <w:sectPr w:rsidR="00906826">
      <w:pgSz w:w="16840" w:h="11910" w:orient="landscape"/>
      <w:pgMar w:top="1100" w:right="760" w:bottom="1200" w:left="82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1437">
      <w:r>
        <w:separator/>
      </w:r>
    </w:p>
  </w:endnote>
  <w:endnote w:type="continuationSeparator" w:id="0">
    <w:p w:rsidR="00000000" w:rsidRDefault="0085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26" w:rsidRDefault="00851437">
    <w:pPr>
      <w:pStyle w:val="Brdtekst"/>
      <w:spacing w:line="14" w:lineRule="auto"/>
      <w:rPr>
        <w:sz w:val="20"/>
        <w:u w:val="none"/>
      </w:rPr>
    </w:pPr>
    <w:r>
      <w:pict>
        <v:shapetype id="_x0000_t202" coordsize="21600,21600" o:spt="202" path="m,l,21600r21600,l21600,xe">
          <v:stroke joinstyle="miter"/>
          <v:path gradientshapeok="t" o:connecttype="rect"/>
        </v:shapetype>
        <v:shape id="_x0000_s2049" type="#_x0000_t202" style="position:absolute;margin-left:416.25pt;margin-top:534.3pt;width:9.6pt;height:13.05pt;z-index:-251658752;mso-position-horizontal-relative:page;mso-position-vertical-relative:page" filled="f" stroked="f">
          <v:textbox inset="0,0,0,0">
            <w:txbxContent>
              <w:p w:rsidR="00906826" w:rsidRDefault="00851437">
                <w:pPr>
                  <w:pStyle w:val="Brdtekst"/>
                  <w:spacing w:line="245" w:lineRule="exact"/>
                  <w:ind w:left="40"/>
                  <w:rPr>
                    <w:u w:val="none"/>
                  </w:rPr>
                </w:pPr>
                <w:r>
                  <w:fldChar w:fldCharType="begin"/>
                </w:r>
                <w:r>
                  <w:rPr>
                    <w:u w:val="none"/>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1437">
      <w:r>
        <w:separator/>
      </w:r>
    </w:p>
  </w:footnote>
  <w:footnote w:type="continuationSeparator" w:id="0">
    <w:p w:rsidR="00000000" w:rsidRDefault="0085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394"/>
    <w:multiLevelType w:val="hybridMultilevel"/>
    <w:tmpl w:val="5F5810F2"/>
    <w:lvl w:ilvl="0" w:tplc="73FE4BC6">
      <w:numFmt w:val="bullet"/>
      <w:lvlText w:val=""/>
      <w:lvlJc w:val="left"/>
      <w:pPr>
        <w:ind w:left="620" w:hanging="360"/>
      </w:pPr>
      <w:rPr>
        <w:rFonts w:ascii="Symbol" w:eastAsia="Symbol" w:hAnsi="Symbol" w:cs="Symbol" w:hint="default"/>
        <w:w w:val="100"/>
        <w:sz w:val="22"/>
        <w:szCs w:val="22"/>
        <w:lang/>
      </w:rPr>
    </w:lvl>
    <w:lvl w:ilvl="1" w:tplc="7C08E1A4">
      <w:numFmt w:val="bullet"/>
      <w:lvlText w:val="•"/>
      <w:lvlJc w:val="left"/>
      <w:pPr>
        <w:ind w:left="2083" w:hanging="360"/>
      </w:pPr>
      <w:rPr>
        <w:rFonts w:hint="default"/>
        <w:lang/>
      </w:rPr>
    </w:lvl>
    <w:lvl w:ilvl="2" w:tplc="E8885814">
      <w:numFmt w:val="bullet"/>
      <w:lvlText w:val="•"/>
      <w:lvlJc w:val="left"/>
      <w:pPr>
        <w:ind w:left="3547" w:hanging="360"/>
      </w:pPr>
      <w:rPr>
        <w:rFonts w:hint="default"/>
        <w:lang/>
      </w:rPr>
    </w:lvl>
    <w:lvl w:ilvl="3" w:tplc="7EA4EF80">
      <w:numFmt w:val="bullet"/>
      <w:lvlText w:val="•"/>
      <w:lvlJc w:val="left"/>
      <w:pPr>
        <w:ind w:left="5011" w:hanging="360"/>
      </w:pPr>
      <w:rPr>
        <w:rFonts w:hint="default"/>
        <w:lang/>
      </w:rPr>
    </w:lvl>
    <w:lvl w:ilvl="4" w:tplc="91F8634C">
      <w:numFmt w:val="bullet"/>
      <w:lvlText w:val="•"/>
      <w:lvlJc w:val="left"/>
      <w:pPr>
        <w:ind w:left="6475" w:hanging="360"/>
      </w:pPr>
      <w:rPr>
        <w:rFonts w:hint="default"/>
        <w:lang/>
      </w:rPr>
    </w:lvl>
    <w:lvl w:ilvl="5" w:tplc="E43424CC">
      <w:numFmt w:val="bullet"/>
      <w:lvlText w:val="•"/>
      <w:lvlJc w:val="left"/>
      <w:pPr>
        <w:ind w:left="7939" w:hanging="360"/>
      </w:pPr>
      <w:rPr>
        <w:rFonts w:hint="default"/>
        <w:lang/>
      </w:rPr>
    </w:lvl>
    <w:lvl w:ilvl="6" w:tplc="EDE633D4">
      <w:numFmt w:val="bullet"/>
      <w:lvlText w:val="•"/>
      <w:lvlJc w:val="left"/>
      <w:pPr>
        <w:ind w:left="9403" w:hanging="360"/>
      </w:pPr>
      <w:rPr>
        <w:rFonts w:hint="default"/>
        <w:lang/>
      </w:rPr>
    </w:lvl>
    <w:lvl w:ilvl="7" w:tplc="95905DDC">
      <w:numFmt w:val="bullet"/>
      <w:lvlText w:val="•"/>
      <w:lvlJc w:val="left"/>
      <w:pPr>
        <w:ind w:left="10866" w:hanging="360"/>
      </w:pPr>
      <w:rPr>
        <w:rFonts w:hint="default"/>
        <w:lang/>
      </w:rPr>
    </w:lvl>
    <w:lvl w:ilvl="8" w:tplc="20247174">
      <w:numFmt w:val="bullet"/>
      <w:lvlText w:val="•"/>
      <w:lvlJc w:val="left"/>
      <w:pPr>
        <w:ind w:left="12330" w:hanging="360"/>
      </w:pPr>
      <w:rPr>
        <w:rFonts w:hint="default"/>
        <w:lang/>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06826"/>
    <w:rsid w:val="00851437"/>
    <w:rsid w:val="009068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27BA9B"/>
  <w15:docId w15:val="{22281963-73B2-4406-8C59-4BEFA2BC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rPr>
  </w:style>
  <w:style w:type="paragraph" w:styleId="Overskrift1">
    <w:name w:val="heading 1"/>
    <w:basedOn w:val="Normal"/>
    <w:uiPriority w:val="9"/>
    <w:qFormat/>
    <w:pPr>
      <w:ind w:left="26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u w:val="single" w:color="000000"/>
    </w:rPr>
  </w:style>
  <w:style w:type="paragraph" w:styleId="Listeafsnit">
    <w:name w:val="List Paragraph"/>
    <w:basedOn w:val="Normal"/>
    <w:uiPriority w:val="1"/>
    <w:qFormat/>
    <w:pPr>
      <w:ind w:left="62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unet.dk/Personale/Arbejdsmiljoe/ArbMiljoe/APV-paa-SDU/APV-og-Trivselsm%C3%83%C2%A5ling-2018.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net.dk/Personale/Arbejdsmiljoe/ArbMiljoe/APV-paa-SDU/%7E/media/Intranet/Public/Upload/Personale/Arbejdsmiljoe/APV%20og%20TM%202018/Oversigt%20over%20forl%C3%83%C2%B8bet%20af%20APV%20og%20Trivselsm%C3%83%C2%A5ling%202018%20-%20trin%206.ashx" TargetMode="External"/><Relationship Id="rId5" Type="http://schemas.openxmlformats.org/officeDocument/2006/relationships/footnotes" Target="footnotes.xml"/><Relationship Id="rId10" Type="http://schemas.openxmlformats.org/officeDocument/2006/relationships/hyperlink" Target="http://sdunet.dk/Personale/Arbejdsmiljoe/ArbMiljoe/APV-paa-SDU/%7E/media/Intranet/Public/Upload/Personale/Arbejdsmiljoe/APV%20og%20TM%202018/Oversigt%20over%20forl%C3%83%C2%B8bet%20af%20APV%20og%20Trivselsm%C3%83%C2%A5ling%202018%20-%20trin%205.ashx" TargetMode="External"/><Relationship Id="rId4" Type="http://schemas.openxmlformats.org/officeDocument/2006/relationships/webSettings" Target="webSettings.xml"/><Relationship Id="rId9" Type="http://schemas.openxmlformats.org/officeDocument/2006/relationships/hyperlink" Target="http://sdunet.dk/Personale/Arbejdsmiljoe/ArbMiljoe/APV-paa-SDU/APV-og-Trivselsm%C3%83%C2%A5lin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3593</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Thuesen Christensen</dc:creator>
  <cp:lastModifiedBy>Kristian Haldrup</cp:lastModifiedBy>
  <cp:revision>2</cp:revision>
  <dcterms:created xsi:type="dcterms:W3CDTF">2019-03-14T10:22:00Z</dcterms:created>
  <dcterms:modified xsi:type="dcterms:W3CDTF">2019-03-14T10:23:00Z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til Office 365</vt:lpwstr>
  </property>
  <property fmtid="{D5CDD505-2E9C-101B-9397-08002B2CF9AE}" pid="4" name="LastSaved">
    <vt:filetime>2019-03-14T00:00:00Z</vt:filetime>
  </property>
</Properties>
</file>