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7CF544" w14:textId="77777777" w:rsidR="00760AB5" w:rsidRDefault="00946115">
      <w:pPr>
        <w:spacing w:before="105"/>
        <w:ind w:left="1579"/>
        <w:rPr>
          <w:b/>
          <w:sz w:val="28"/>
        </w:rPr>
      </w:pPr>
      <w:r>
        <w:rPr>
          <w:b/>
          <w:sz w:val="28"/>
        </w:rPr>
        <w:t>Extract of</w:t>
      </w:r>
      <w:r w:rsidR="006B4D52">
        <w:rPr>
          <w:b/>
          <w:sz w:val="28"/>
        </w:rPr>
        <w:t xml:space="preserve"> ’Guidance for the Assessment Committee’</w:t>
      </w:r>
    </w:p>
    <w:p w14:paraId="6CDA2397" w14:textId="77777777" w:rsidR="00B8119B" w:rsidRDefault="00B8119B">
      <w:pPr>
        <w:pStyle w:val="BodyText"/>
        <w:spacing w:before="8"/>
        <w:ind w:left="0" w:firstLine="0"/>
        <w:rPr>
          <w:rStyle w:val="SubtleEmphasis"/>
        </w:rPr>
      </w:pPr>
    </w:p>
    <w:p w14:paraId="07945BA8" w14:textId="77777777" w:rsidR="00760AB5" w:rsidRPr="00157E81" w:rsidRDefault="00157E81">
      <w:pPr>
        <w:pStyle w:val="BodyText"/>
        <w:spacing w:before="8"/>
        <w:ind w:left="0" w:firstLine="0"/>
        <w:rPr>
          <w:rStyle w:val="SubtleEmphasis"/>
        </w:rPr>
      </w:pPr>
      <w:r>
        <w:rPr>
          <w:rStyle w:val="SubtleEmphasis"/>
        </w:rPr>
        <w:t>About the assessment:</w:t>
      </w:r>
    </w:p>
    <w:p w14:paraId="618D02FD" w14:textId="744B4DB4" w:rsidR="00946115" w:rsidRDefault="00157E81" w:rsidP="00157E81">
      <w:pPr>
        <w:pStyle w:val="ListParagraph"/>
        <w:numPr>
          <w:ilvl w:val="0"/>
          <w:numId w:val="1"/>
        </w:numPr>
        <w:tabs>
          <w:tab w:val="left" w:pos="833"/>
        </w:tabs>
        <w:ind w:left="832" w:hanging="360"/>
        <w:jc w:val="both"/>
      </w:pPr>
      <w:r>
        <w:t xml:space="preserve">The committee must </w:t>
      </w:r>
      <w:r w:rsidR="00946115">
        <w:t xml:space="preserve">complete </w:t>
      </w:r>
      <w:r>
        <w:t xml:space="preserve">the assessments in accordance with the </w:t>
      </w:r>
      <w:r w:rsidR="00946115">
        <w:t>job advertisement and</w:t>
      </w:r>
      <w:r w:rsidR="00573975">
        <w:t xml:space="preserve"> </w:t>
      </w:r>
      <w:r w:rsidR="00573975">
        <w:rPr>
          <w:rStyle w:val="normaltextrun"/>
          <w:color w:val="000000"/>
          <w:shd w:val="clear" w:color="auto" w:fill="FFFFFF"/>
        </w:rPr>
        <w:t>the scholarly qualification guidelines of the Department or Faculty</w:t>
      </w:r>
      <w:r w:rsidR="00946115">
        <w:t xml:space="preserve"> which determine whether the applicant is qualified or not qualified. </w:t>
      </w:r>
    </w:p>
    <w:p w14:paraId="79B87E45" w14:textId="77777777" w:rsidR="0063335A" w:rsidRDefault="0063335A" w:rsidP="00157E81">
      <w:pPr>
        <w:pStyle w:val="ListParagraph"/>
        <w:numPr>
          <w:ilvl w:val="0"/>
          <w:numId w:val="1"/>
        </w:numPr>
        <w:tabs>
          <w:tab w:val="left" w:pos="833"/>
        </w:tabs>
        <w:ind w:left="832" w:hanging="360"/>
        <w:jc w:val="both"/>
      </w:pPr>
      <w:r>
        <w:t>The assessment o</w:t>
      </w:r>
      <w:r w:rsidR="00157E81">
        <w:t xml:space="preserve">f each </w:t>
      </w:r>
      <w:r w:rsidR="00C020A9">
        <w:t xml:space="preserve">applicant </w:t>
      </w:r>
      <w:r w:rsidR="00157E81">
        <w:t>must be drawn up</w:t>
      </w:r>
      <w:r w:rsidR="00946115">
        <w:t xml:space="preserve"> according to a particular structure</w:t>
      </w:r>
      <w:r w:rsidR="00157E81">
        <w:t>:</w:t>
      </w:r>
    </w:p>
    <w:p w14:paraId="35D11F84" w14:textId="77777777" w:rsidR="0063335A" w:rsidRDefault="0063335A" w:rsidP="00577287">
      <w:pPr>
        <w:pStyle w:val="ListParagraph"/>
        <w:numPr>
          <w:ilvl w:val="1"/>
          <w:numId w:val="1"/>
        </w:numPr>
        <w:tabs>
          <w:tab w:val="left" w:pos="1553"/>
        </w:tabs>
        <w:spacing w:before="38" w:line="276" w:lineRule="auto"/>
        <w:ind w:right="114"/>
      </w:pPr>
      <w:r>
        <w:t xml:space="preserve">Presentation of the applicant (relevant positions, education and study </w:t>
      </w:r>
      <w:proofErr w:type="spellStart"/>
      <w:r>
        <w:t>programmes</w:t>
      </w:r>
      <w:proofErr w:type="spellEnd"/>
      <w:r>
        <w:t>, study visits or other professional</w:t>
      </w:r>
      <w:r>
        <w:rPr>
          <w:spacing w:val="-12"/>
        </w:rPr>
        <w:t xml:space="preserve"> </w:t>
      </w:r>
      <w:r>
        <w:t>activities)</w:t>
      </w:r>
      <w:r w:rsidR="00577287">
        <w:t xml:space="preserve">. </w:t>
      </w:r>
      <w:r w:rsidR="00577287" w:rsidRPr="00577287">
        <w:t xml:space="preserve">If the application material states that the applicant has been on parental leave in his/her academic career, this fact cannot be reflected negatively in the assessment of the applicant’s academic qualifications.  </w:t>
      </w:r>
    </w:p>
    <w:p w14:paraId="32B2EDEF" w14:textId="77777777" w:rsidR="0063335A" w:rsidRDefault="0063335A" w:rsidP="0063335A">
      <w:pPr>
        <w:pStyle w:val="ListParagraph"/>
        <w:numPr>
          <w:ilvl w:val="1"/>
          <w:numId w:val="1"/>
        </w:numPr>
        <w:tabs>
          <w:tab w:val="left" w:pos="1553"/>
        </w:tabs>
        <w:spacing w:before="1" w:line="273" w:lineRule="auto"/>
        <w:ind w:right="110"/>
      </w:pPr>
      <w:r>
        <w:t xml:space="preserve">Assessment of scientific qualifications (identification, </w:t>
      </w:r>
      <w:proofErr w:type="gramStart"/>
      <w:r>
        <w:t>characterization</w:t>
      </w:r>
      <w:proofErr w:type="gramEnd"/>
      <w:r>
        <w:t xml:space="preserve"> and evaluation of </w:t>
      </w:r>
      <w:r>
        <w:rPr>
          <w:u w:val="single"/>
        </w:rPr>
        <w:t xml:space="preserve">all </w:t>
      </w:r>
      <w:r>
        <w:t>submitted publications, and assessments of other scientific qualifications, if</w:t>
      </w:r>
      <w:r>
        <w:rPr>
          <w:spacing w:val="-34"/>
        </w:rPr>
        <w:t xml:space="preserve"> </w:t>
      </w:r>
      <w:r>
        <w:t>any)</w:t>
      </w:r>
    </w:p>
    <w:p w14:paraId="155EC1A5" w14:textId="77777777" w:rsidR="0063335A" w:rsidRDefault="0063335A" w:rsidP="0063335A">
      <w:pPr>
        <w:pStyle w:val="ListParagraph"/>
        <w:numPr>
          <w:ilvl w:val="2"/>
          <w:numId w:val="1"/>
        </w:numPr>
        <w:tabs>
          <w:tab w:val="left" w:pos="2273"/>
        </w:tabs>
        <w:spacing w:before="3" w:line="276" w:lineRule="auto"/>
        <w:ind w:right="111" w:hanging="285"/>
      </w:pPr>
      <w:r>
        <w:t xml:space="preserve">Please note that </w:t>
      </w:r>
      <w:proofErr w:type="gramStart"/>
      <w:r>
        <w:t>each and every</w:t>
      </w:r>
      <w:proofErr w:type="gramEnd"/>
      <w:r>
        <w:t xml:space="preserve"> submitted publication must be assessed individually.</w:t>
      </w:r>
    </w:p>
    <w:p w14:paraId="6F3785EB" w14:textId="3FE9579F" w:rsidR="0063335A" w:rsidRDefault="0063335A" w:rsidP="0063335A">
      <w:pPr>
        <w:pStyle w:val="ListParagraph"/>
        <w:numPr>
          <w:ilvl w:val="2"/>
          <w:numId w:val="1"/>
        </w:numPr>
        <w:tabs>
          <w:tab w:val="left" w:pos="2273"/>
        </w:tabs>
        <w:spacing w:before="3" w:line="276" w:lineRule="auto"/>
        <w:ind w:right="111" w:hanging="285"/>
      </w:pPr>
      <w:r>
        <w:t>Identification: stating title, journ</w:t>
      </w:r>
      <w:r w:rsidR="00946115">
        <w:t xml:space="preserve">al, publisher, </w:t>
      </w:r>
      <w:proofErr w:type="gramStart"/>
      <w:r w:rsidR="00946115">
        <w:t>year</w:t>
      </w:r>
      <w:proofErr w:type="gramEnd"/>
      <w:r w:rsidR="00946115">
        <w:t xml:space="preserve"> and potential</w:t>
      </w:r>
      <w:r>
        <w:t xml:space="preserve"> co-authorship</w:t>
      </w:r>
      <w:r w:rsidR="00946115">
        <w:t xml:space="preserve">. </w:t>
      </w:r>
      <w:r w:rsidR="00A16BBE">
        <w:t xml:space="preserve">In the event of </w:t>
      </w:r>
      <w:r w:rsidR="00AC76C2">
        <w:t>co-authorship there m</w:t>
      </w:r>
      <w:r w:rsidR="00FF2B9F">
        <w:t>ay</w:t>
      </w:r>
      <w:r w:rsidR="00AC76C2">
        <w:t xml:space="preserve"> be a c</w:t>
      </w:r>
      <w:r>
        <w:t>o-author statement</w:t>
      </w:r>
      <w:r w:rsidR="00FF2B9F">
        <w:t xml:space="preserve"> (if requested in the job announcement)</w:t>
      </w:r>
      <w:r w:rsidR="00AC76C2">
        <w:t>. The research</w:t>
      </w:r>
      <w:r w:rsidR="00A16BBE">
        <w:t xml:space="preserve"> is included in the assessment depending on the applicant’s contribution to the research and the characteristics of the research. </w:t>
      </w:r>
      <w:r>
        <w:t xml:space="preserve"> </w:t>
      </w:r>
    </w:p>
    <w:p w14:paraId="4019844E" w14:textId="77777777" w:rsidR="0063335A" w:rsidRDefault="0063335A" w:rsidP="0063335A">
      <w:pPr>
        <w:pStyle w:val="ListParagraph"/>
        <w:numPr>
          <w:ilvl w:val="2"/>
          <w:numId w:val="1"/>
        </w:numPr>
        <w:tabs>
          <w:tab w:val="left" w:pos="2273"/>
        </w:tabs>
        <w:spacing w:before="3" w:line="276" w:lineRule="auto"/>
        <w:ind w:right="111" w:hanging="285"/>
      </w:pPr>
      <w:r>
        <w:t xml:space="preserve">Characterizing: PhD thesis, </w:t>
      </w:r>
      <w:proofErr w:type="gramStart"/>
      <w:r w:rsidR="00A16BBE">
        <w:t>Master’s</w:t>
      </w:r>
      <w:proofErr w:type="gramEnd"/>
      <w:r w:rsidR="00A16BBE">
        <w:t xml:space="preserve"> thesis, </w:t>
      </w:r>
      <w:r>
        <w:t>article</w:t>
      </w:r>
      <w:r w:rsidR="00A16BBE">
        <w:t xml:space="preserve">, paper, review etc. </w:t>
      </w:r>
    </w:p>
    <w:p w14:paraId="2DF56899" w14:textId="77777777" w:rsidR="0063335A" w:rsidRDefault="0063335A" w:rsidP="0063335A">
      <w:pPr>
        <w:pStyle w:val="ListParagraph"/>
        <w:numPr>
          <w:ilvl w:val="2"/>
          <w:numId w:val="1"/>
        </w:numPr>
        <w:tabs>
          <w:tab w:val="left" w:pos="2273"/>
        </w:tabs>
        <w:spacing w:before="3" w:line="276" w:lineRule="auto"/>
        <w:ind w:right="111" w:hanging="285"/>
      </w:pPr>
      <w:r>
        <w:t>A specific assessment of each publication</w:t>
      </w:r>
    </w:p>
    <w:p w14:paraId="3ABA7B44" w14:textId="70DF1067" w:rsidR="0063335A" w:rsidRDefault="0063335A" w:rsidP="0063335A">
      <w:pPr>
        <w:pStyle w:val="ListParagraph"/>
        <w:numPr>
          <w:ilvl w:val="1"/>
          <w:numId w:val="1"/>
        </w:numPr>
        <w:tabs>
          <w:tab w:val="left" w:pos="1552"/>
          <w:tab w:val="left" w:pos="1553"/>
        </w:tabs>
        <w:spacing w:line="267" w:lineRule="exact"/>
      </w:pPr>
      <w:r>
        <w:t>Assessment of teaching qualifications</w:t>
      </w:r>
      <w:r w:rsidR="00830286">
        <w:t xml:space="preserve"> </w:t>
      </w:r>
      <w:r>
        <w:t>based on the submitted</w:t>
      </w:r>
      <w:r w:rsidR="00830286">
        <w:t xml:space="preserve"> documentation to fulfill the requirements stated in the job advertisement and </w:t>
      </w:r>
      <w:r w:rsidR="00573975">
        <w:rPr>
          <w:rStyle w:val="normaltextrun"/>
          <w:color w:val="000000"/>
          <w:shd w:val="clear" w:color="auto" w:fill="FFFFFF"/>
        </w:rPr>
        <w:t>the scholarly qualification guidelines of the Department or Faculty.</w:t>
      </w:r>
    </w:p>
    <w:p w14:paraId="1F17B6B2" w14:textId="1FA47CE9" w:rsidR="0063335A" w:rsidRDefault="0063335A" w:rsidP="0063335A">
      <w:pPr>
        <w:pStyle w:val="ListParagraph"/>
        <w:numPr>
          <w:ilvl w:val="1"/>
          <w:numId w:val="1"/>
        </w:numPr>
        <w:tabs>
          <w:tab w:val="left" w:pos="1553"/>
        </w:tabs>
        <w:spacing w:before="41"/>
      </w:pPr>
      <w:r>
        <w:t>Assessment of ot</w:t>
      </w:r>
      <w:r w:rsidR="00830286">
        <w:t xml:space="preserve">her qualification requirements stated in the job advertisement and </w:t>
      </w:r>
      <w:r w:rsidR="00573975">
        <w:rPr>
          <w:rStyle w:val="normaltextrun"/>
          <w:color w:val="000000"/>
          <w:shd w:val="clear" w:color="auto" w:fill="FFFFFF"/>
        </w:rPr>
        <w:t>the scholarly qualification guidelines of the Department or Faculty.</w:t>
      </w:r>
    </w:p>
    <w:p w14:paraId="6BC8A014" w14:textId="539C0A0C" w:rsidR="0063335A" w:rsidRDefault="00830286" w:rsidP="0063335A">
      <w:pPr>
        <w:pStyle w:val="ListParagraph"/>
        <w:numPr>
          <w:ilvl w:val="1"/>
          <w:numId w:val="1"/>
        </w:numPr>
        <w:tabs>
          <w:tab w:val="left" w:pos="1553"/>
        </w:tabs>
        <w:spacing w:before="40"/>
        <w:ind w:hanging="359"/>
      </w:pPr>
      <w:r>
        <w:t xml:space="preserve">Concluding </w:t>
      </w:r>
      <w:r w:rsidR="0063335A">
        <w:t>evaluation of the</w:t>
      </w:r>
      <w:r w:rsidR="0063335A">
        <w:rPr>
          <w:spacing w:val="-19"/>
        </w:rPr>
        <w:t xml:space="preserve"> </w:t>
      </w:r>
      <w:r w:rsidR="0063335A">
        <w:t xml:space="preserve">applicant, where the committee </w:t>
      </w:r>
      <w:r w:rsidRPr="00A14ABE">
        <w:rPr>
          <w:i/>
        </w:rPr>
        <w:t>specifically</w:t>
      </w:r>
      <w:r>
        <w:t xml:space="preserve"> </w:t>
      </w:r>
      <w:r w:rsidR="0063335A">
        <w:t xml:space="preserve">concludes </w:t>
      </w:r>
      <w:r w:rsidR="0063335A" w:rsidRPr="00157E81">
        <w:rPr>
          <w:i/>
        </w:rPr>
        <w:t>how</w:t>
      </w:r>
      <w:r w:rsidR="0063335A">
        <w:t xml:space="preserve"> the </w:t>
      </w:r>
      <w:r w:rsidR="00C020A9">
        <w:t xml:space="preserve">applicant </w:t>
      </w:r>
      <w:r w:rsidR="0063335A">
        <w:t>fulfills the requirements in</w:t>
      </w:r>
      <w:r w:rsidR="00573975">
        <w:t xml:space="preserve"> </w:t>
      </w:r>
      <w:r w:rsidR="00573975">
        <w:rPr>
          <w:rStyle w:val="normaltextrun"/>
          <w:color w:val="000000"/>
          <w:shd w:val="clear" w:color="auto" w:fill="FFFFFF"/>
        </w:rPr>
        <w:t>the scholarly qualification guidelines of the Department or Faculty.</w:t>
      </w:r>
      <w:r w:rsidR="00A43C91">
        <w:t xml:space="preserve"> </w:t>
      </w:r>
      <w:r w:rsidR="00FF2B9F">
        <w:t>The concluding evaluation must clearly state either “qualified” or “not qualified”.</w:t>
      </w:r>
    </w:p>
    <w:p w14:paraId="0AB2222B" w14:textId="77777777" w:rsidR="0063335A" w:rsidRDefault="0063335A" w:rsidP="0063335A">
      <w:pPr>
        <w:pStyle w:val="ListParagraph"/>
        <w:numPr>
          <w:ilvl w:val="0"/>
          <w:numId w:val="1"/>
        </w:numPr>
        <w:tabs>
          <w:tab w:val="left" w:pos="834"/>
        </w:tabs>
        <w:spacing w:before="38" w:line="276" w:lineRule="auto"/>
        <w:ind w:right="110"/>
        <w:jc w:val="both"/>
      </w:pPr>
      <w:r>
        <w:t>The assessment must be composed in a sober and well-balanced linguistic form</w:t>
      </w:r>
      <w:r w:rsidR="00830286">
        <w:t xml:space="preserve">, which shows that </w:t>
      </w:r>
      <w:r>
        <w:t>the members of the assessment committee are objective, professional and eloquent in their</w:t>
      </w:r>
      <w:r>
        <w:rPr>
          <w:spacing w:val="-10"/>
        </w:rPr>
        <w:t xml:space="preserve"> </w:t>
      </w:r>
      <w:r>
        <w:t>work.</w:t>
      </w:r>
    </w:p>
    <w:p w14:paraId="6ED58BAF" w14:textId="381A78D6" w:rsidR="00157E81" w:rsidRDefault="00157E81" w:rsidP="00157E81">
      <w:pPr>
        <w:pStyle w:val="ListParagraph"/>
        <w:numPr>
          <w:ilvl w:val="0"/>
          <w:numId w:val="1"/>
        </w:numPr>
        <w:tabs>
          <w:tab w:val="left" w:pos="833"/>
        </w:tabs>
        <w:spacing w:before="1" w:line="276" w:lineRule="auto"/>
        <w:ind w:left="832" w:right="109" w:hanging="360"/>
        <w:jc w:val="both"/>
      </w:pPr>
      <w:r>
        <w:t>During the drafting of t</w:t>
      </w:r>
      <w:r w:rsidR="00AB2C22">
        <w:t>he assessment, the committee must</w:t>
      </w:r>
      <w:r>
        <w:t xml:space="preserve"> </w:t>
      </w:r>
      <w:r w:rsidRPr="00157E81">
        <w:t>not prioritize</w:t>
      </w:r>
      <w:r>
        <w:t xml:space="preserve"> among the qualified applicants, e.g. comment on which </w:t>
      </w:r>
      <w:r w:rsidR="00C020A9">
        <w:t>applicant</w:t>
      </w:r>
      <w:r>
        <w:t xml:space="preserve"> is best suited for the position or should be appointed. The committee </w:t>
      </w:r>
      <w:r w:rsidR="00AB2C22">
        <w:t>must</w:t>
      </w:r>
      <w:r>
        <w:t xml:space="preserve"> only assess </w:t>
      </w:r>
      <w:r w:rsidR="00AB2C22">
        <w:t xml:space="preserve">whether </w:t>
      </w:r>
      <w:r>
        <w:t xml:space="preserve">the </w:t>
      </w:r>
      <w:r w:rsidR="00C020A9">
        <w:t>applicant</w:t>
      </w:r>
      <w:r w:rsidR="00AB2C22">
        <w:t xml:space="preserve"> is qualified or not qualified.</w:t>
      </w:r>
      <w:r>
        <w:t xml:space="preserve"> This means that the assessment can have two outcomes: either the </w:t>
      </w:r>
      <w:r w:rsidR="00C020A9">
        <w:t>applicant</w:t>
      </w:r>
      <w:r>
        <w:t xml:space="preserve"> is ‘qualified’ or ‘not qualified’ (and thus not e.g. </w:t>
      </w:r>
      <w:r w:rsidR="00FF2B9F">
        <w:t xml:space="preserve">‘highly </w:t>
      </w:r>
      <w:r>
        <w:t>qualified’).</w:t>
      </w:r>
    </w:p>
    <w:p w14:paraId="115C9E08" w14:textId="77777777" w:rsidR="00157E81" w:rsidRDefault="00AB2C22" w:rsidP="00157E81">
      <w:pPr>
        <w:pStyle w:val="ListParagraph"/>
        <w:numPr>
          <w:ilvl w:val="0"/>
          <w:numId w:val="1"/>
        </w:numPr>
        <w:tabs>
          <w:tab w:val="left" w:pos="833"/>
        </w:tabs>
        <w:spacing w:before="41" w:line="276" w:lineRule="auto"/>
        <w:ind w:left="832" w:right="110" w:hanging="360"/>
        <w:jc w:val="both"/>
      </w:pPr>
      <w:r>
        <w:t>It must clearly be stated in the assessment if there is</w:t>
      </w:r>
      <w:r w:rsidR="00157E81">
        <w:t xml:space="preserve"> </w:t>
      </w:r>
      <w:r>
        <w:t xml:space="preserve">disagreement in the assessment committee on the qualification of an applicant. In any case, </w:t>
      </w:r>
      <w:r w:rsidR="00157E81">
        <w:t>the final assessment must result in one unconditional assessment</w:t>
      </w:r>
      <w:r>
        <w:t xml:space="preserve"> of whether the applicant is </w:t>
      </w:r>
      <w:r w:rsidR="00157E81">
        <w:t>qualified or n</w:t>
      </w:r>
      <w:r>
        <w:t xml:space="preserve">ot qualified. </w:t>
      </w:r>
    </w:p>
    <w:p w14:paraId="29274A49" w14:textId="77777777" w:rsidR="0063335A" w:rsidRDefault="0063335A" w:rsidP="0063335A">
      <w:pPr>
        <w:pStyle w:val="ListParagraph"/>
        <w:numPr>
          <w:ilvl w:val="0"/>
          <w:numId w:val="1"/>
        </w:numPr>
        <w:tabs>
          <w:tab w:val="left" w:pos="834"/>
        </w:tabs>
        <w:spacing w:before="2" w:line="276" w:lineRule="auto"/>
        <w:ind w:right="111"/>
        <w:jc w:val="both"/>
      </w:pPr>
      <w:r>
        <w:t>Should the assessment not constitute an adequate basis for decision for the Dean and/or meet the formal requirements for scientific assessments, the assessment will be returned to the committee for</w:t>
      </w:r>
      <w:r>
        <w:rPr>
          <w:spacing w:val="-7"/>
        </w:rPr>
        <w:t xml:space="preserve"> </w:t>
      </w:r>
      <w:r w:rsidR="00AB2C22">
        <w:rPr>
          <w:spacing w:val="-7"/>
        </w:rPr>
        <w:t xml:space="preserve">supplementation or </w:t>
      </w:r>
      <w:r>
        <w:t>re-drafting.</w:t>
      </w:r>
    </w:p>
    <w:p w14:paraId="6359A0E5" w14:textId="77777777" w:rsidR="00157E81" w:rsidRPr="00157E81" w:rsidRDefault="00157E81" w:rsidP="00157E81">
      <w:pPr>
        <w:pStyle w:val="ListParagraph"/>
        <w:tabs>
          <w:tab w:val="left" w:pos="834"/>
        </w:tabs>
        <w:spacing w:before="2" w:line="276" w:lineRule="auto"/>
        <w:ind w:left="0" w:right="111" w:firstLine="0"/>
        <w:rPr>
          <w:rStyle w:val="SubtleEmphasis"/>
        </w:rPr>
      </w:pPr>
      <w:r>
        <w:rPr>
          <w:rStyle w:val="SubtleEmphasis"/>
        </w:rPr>
        <w:t>Additional information the committee must be aware of:</w:t>
      </w:r>
    </w:p>
    <w:p w14:paraId="007E4AE3" w14:textId="77777777" w:rsidR="0063335A" w:rsidRDefault="0063335A" w:rsidP="0063335A">
      <w:pPr>
        <w:pStyle w:val="ListParagraph"/>
        <w:numPr>
          <w:ilvl w:val="0"/>
          <w:numId w:val="1"/>
        </w:numPr>
        <w:tabs>
          <w:tab w:val="left" w:pos="833"/>
        </w:tabs>
        <w:spacing w:line="267" w:lineRule="exact"/>
        <w:ind w:left="832" w:hanging="360"/>
      </w:pPr>
      <w:r>
        <w:t>All applicants must be assessed by all members of the</w:t>
      </w:r>
      <w:r>
        <w:rPr>
          <w:spacing w:val="-19"/>
        </w:rPr>
        <w:t xml:space="preserve"> </w:t>
      </w:r>
      <w:r>
        <w:t>committee.</w:t>
      </w:r>
      <w:r w:rsidR="00855BCC">
        <w:t xml:space="preserve"> The assessment of the applicants must </w:t>
      </w:r>
      <w:r w:rsidR="00D452F9">
        <w:t xml:space="preserve">be </w:t>
      </w:r>
      <w:r w:rsidR="00855BCC">
        <w:t xml:space="preserve">done jointly by all the </w:t>
      </w:r>
      <w:proofErr w:type="gramStart"/>
      <w:r w:rsidR="00855BCC">
        <w:t>members,</w:t>
      </w:r>
      <w:proofErr w:type="gramEnd"/>
      <w:r w:rsidR="00855BCC">
        <w:t xml:space="preserve"> however drafts can be done by the individual members according to an agreed division of </w:t>
      </w:r>
      <w:proofErr w:type="spellStart"/>
      <w:r w:rsidR="00855BCC">
        <w:t>labour</w:t>
      </w:r>
      <w:proofErr w:type="spellEnd"/>
      <w:r w:rsidR="00855BCC">
        <w:t xml:space="preserve"> and starting with a preliminary discussion in the committee. </w:t>
      </w:r>
    </w:p>
    <w:p w14:paraId="080B83D7" w14:textId="77777777" w:rsidR="0063335A" w:rsidRDefault="0063335A" w:rsidP="0063335A">
      <w:pPr>
        <w:pStyle w:val="ListParagraph"/>
        <w:numPr>
          <w:ilvl w:val="0"/>
          <w:numId w:val="1"/>
        </w:numPr>
        <w:tabs>
          <w:tab w:val="left" w:pos="834"/>
        </w:tabs>
        <w:spacing w:line="276" w:lineRule="auto"/>
        <w:ind w:right="110"/>
        <w:jc w:val="both"/>
      </w:pPr>
      <w:r>
        <w:t xml:space="preserve">None of </w:t>
      </w:r>
      <w:r w:rsidR="00855BCC">
        <w:t>the members of the committee are allowed to</w:t>
      </w:r>
      <w:r>
        <w:t xml:space="preserve"> communicate directly with the applicants. If the committee should require additional material, e.g. co-author declarations, the chairman of the committee must request the personnel function within</w:t>
      </w:r>
      <w:r w:rsidR="00855BCC">
        <w:t xml:space="preserve"> the faculty </w:t>
      </w:r>
      <w:r>
        <w:t>to obtain and distribute the material in</w:t>
      </w:r>
      <w:r>
        <w:rPr>
          <w:spacing w:val="-12"/>
        </w:rPr>
        <w:t xml:space="preserve"> </w:t>
      </w:r>
      <w:r>
        <w:t>question.</w:t>
      </w:r>
    </w:p>
    <w:p w14:paraId="3CCD8A60" w14:textId="77777777" w:rsidR="00760AB5" w:rsidRDefault="006B4D52">
      <w:pPr>
        <w:pStyle w:val="ListParagraph"/>
        <w:numPr>
          <w:ilvl w:val="0"/>
          <w:numId w:val="1"/>
        </w:numPr>
        <w:tabs>
          <w:tab w:val="left" w:pos="833"/>
        </w:tabs>
        <w:spacing w:line="276" w:lineRule="auto"/>
        <w:ind w:right="110"/>
        <w:jc w:val="both"/>
      </w:pPr>
      <w:r>
        <w:t>The members of the assessment committee must themselves be aware of and respond to the question of potential incapacity. The chairman is responsible for ensuring that the committee members are informed of this</w:t>
      </w:r>
      <w:r>
        <w:rPr>
          <w:spacing w:val="-9"/>
        </w:rPr>
        <w:t xml:space="preserve"> </w:t>
      </w:r>
      <w:r>
        <w:t>duty.</w:t>
      </w:r>
    </w:p>
    <w:p w14:paraId="34425DDA" w14:textId="77777777" w:rsidR="00760AB5" w:rsidRDefault="006B4D52">
      <w:pPr>
        <w:pStyle w:val="ListParagraph"/>
        <w:numPr>
          <w:ilvl w:val="0"/>
          <w:numId w:val="1"/>
        </w:numPr>
        <w:tabs>
          <w:tab w:val="left" w:pos="833"/>
        </w:tabs>
        <w:spacing w:before="41"/>
        <w:ind w:left="832" w:hanging="360"/>
      </w:pPr>
      <w:r>
        <w:lastRenderedPageBreak/>
        <w:t>Only members</w:t>
      </w:r>
      <w:r w:rsidR="00855BCC">
        <w:t xml:space="preserve"> of the assessment committee can</w:t>
      </w:r>
      <w:r>
        <w:t xml:space="preserve"> take part in the drafting of the</w:t>
      </w:r>
      <w:r>
        <w:rPr>
          <w:spacing w:val="-33"/>
        </w:rPr>
        <w:t xml:space="preserve"> </w:t>
      </w:r>
      <w:r>
        <w:t>assessment.</w:t>
      </w:r>
    </w:p>
    <w:p w14:paraId="71175599" w14:textId="77777777" w:rsidR="00760AB5" w:rsidRDefault="00760AB5">
      <w:pPr>
        <w:pStyle w:val="BodyText"/>
        <w:ind w:left="0" w:firstLine="0"/>
      </w:pPr>
    </w:p>
    <w:p w14:paraId="273BD3E2" w14:textId="77777777" w:rsidR="00760AB5" w:rsidRDefault="006B4D52">
      <w:pPr>
        <w:spacing w:before="171" w:line="276" w:lineRule="auto"/>
        <w:ind w:left="113"/>
        <w:rPr>
          <w:i/>
        </w:rPr>
      </w:pPr>
      <w:r>
        <w:rPr>
          <w:i/>
        </w:rPr>
        <w:t xml:space="preserve">All the above requirements have been taken from the full guidance </w:t>
      </w:r>
      <w:r w:rsidR="00855BCC">
        <w:rPr>
          <w:i/>
        </w:rPr>
        <w:t xml:space="preserve">where all the requirements for the assessment committee is described in full. </w:t>
      </w:r>
    </w:p>
    <w:sectPr w:rsidR="00760AB5" w:rsidSect="00B8119B">
      <w:type w:val="continuous"/>
      <w:pgSz w:w="11910" w:h="16840"/>
      <w:pgMar w:top="426" w:right="1020" w:bottom="280" w:left="102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13504"/>
    <w:multiLevelType w:val="hybridMultilevel"/>
    <w:tmpl w:val="38FEF74C"/>
    <w:lvl w:ilvl="0" w:tplc="9FAC3468">
      <w:start w:val="1"/>
      <w:numFmt w:val="decimal"/>
      <w:lvlText w:val="%1."/>
      <w:lvlJc w:val="left"/>
      <w:pPr>
        <w:ind w:left="833" w:hanging="361"/>
        <w:jc w:val="left"/>
      </w:pPr>
      <w:rPr>
        <w:rFonts w:ascii="Calibri" w:eastAsia="Calibri" w:hAnsi="Calibri" w:cs="Calibri" w:hint="default"/>
        <w:w w:val="100"/>
        <w:sz w:val="22"/>
        <w:szCs w:val="22"/>
      </w:rPr>
    </w:lvl>
    <w:lvl w:ilvl="1" w:tplc="0136CF2E">
      <w:start w:val="1"/>
      <w:numFmt w:val="lowerLetter"/>
      <w:lvlText w:val="%2."/>
      <w:lvlJc w:val="left"/>
      <w:pPr>
        <w:ind w:left="1552" w:hanging="360"/>
        <w:jc w:val="left"/>
      </w:pPr>
      <w:rPr>
        <w:rFonts w:ascii="Calibri" w:eastAsia="Calibri" w:hAnsi="Calibri" w:cs="Calibri" w:hint="default"/>
        <w:spacing w:val="-1"/>
        <w:w w:val="100"/>
        <w:sz w:val="22"/>
        <w:szCs w:val="22"/>
      </w:rPr>
    </w:lvl>
    <w:lvl w:ilvl="2" w:tplc="B20630CA">
      <w:start w:val="1"/>
      <w:numFmt w:val="lowerRoman"/>
      <w:lvlText w:val="%3."/>
      <w:lvlJc w:val="left"/>
      <w:pPr>
        <w:ind w:left="2272" w:hanging="286"/>
        <w:jc w:val="left"/>
      </w:pPr>
      <w:rPr>
        <w:rFonts w:ascii="Calibri" w:eastAsia="Calibri" w:hAnsi="Calibri" w:cs="Calibri" w:hint="default"/>
        <w:spacing w:val="-1"/>
        <w:w w:val="100"/>
        <w:sz w:val="22"/>
        <w:szCs w:val="22"/>
      </w:rPr>
    </w:lvl>
    <w:lvl w:ilvl="3" w:tplc="28744FF8">
      <w:numFmt w:val="bullet"/>
      <w:lvlText w:val="•"/>
      <w:lvlJc w:val="left"/>
      <w:pPr>
        <w:ind w:left="3228" w:hanging="286"/>
      </w:pPr>
      <w:rPr>
        <w:rFonts w:hint="default"/>
      </w:rPr>
    </w:lvl>
    <w:lvl w:ilvl="4" w:tplc="561256D2">
      <w:numFmt w:val="bullet"/>
      <w:lvlText w:val="•"/>
      <w:lvlJc w:val="left"/>
      <w:pPr>
        <w:ind w:left="4176" w:hanging="286"/>
      </w:pPr>
      <w:rPr>
        <w:rFonts w:hint="default"/>
      </w:rPr>
    </w:lvl>
    <w:lvl w:ilvl="5" w:tplc="26A021E0">
      <w:numFmt w:val="bullet"/>
      <w:lvlText w:val="•"/>
      <w:lvlJc w:val="left"/>
      <w:pPr>
        <w:ind w:left="5124" w:hanging="286"/>
      </w:pPr>
      <w:rPr>
        <w:rFonts w:hint="default"/>
      </w:rPr>
    </w:lvl>
    <w:lvl w:ilvl="6" w:tplc="FD60078E">
      <w:numFmt w:val="bullet"/>
      <w:lvlText w:val="•"/>
      <w:lvlJc w:val="left"/>
      <w:pPr>
        <w:ind w:left="6073" w:hanging="286"/>
      </w:pPr>
      <w:rPr>
        <w:rFonts w:hint="default"/>
      </w:rPr>
    </w:lvl>
    <w:lvl w:ilvl="7" w:tplc="29FC121E">
      <w:numFmt w:val="bullet"/>
      <w:lvlText w:val="•"/>
      <w:lvlJc w:val="left"/>
      <w:pPr>
        <w:ind w:left="7021" w:hanging="286"/>
      </w:pPr>
      <w:rPr>
        <w:rFonts w:hint="default"/>
      </w:rPr>
    </w:lvl>
    <w:lvl w:ilvl="8" w:tplc="532C3C32">
      <w:numFmt w:val="bullet"/>
      <w:lvlText w:val="•"/>
      <w:lvlJc w:val="left"/>
      <w:pPr>
        <w:ind w:left="7969" w:hanging="286"/>
      </w:pPr>
      <w:rPr>
        <w:rFonts w:hint="default"/>
      </w:rPr>
    </w:lvl>
  </w:abstractNum>
  <w:num w:numId="1" w16cid:durableId="801811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hyphenationZone w:val="425"/>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0AB5"/>
    <w:rsid w:val="000A1B71"/>
    <w:rsid w:val="00150E46"/>
    <w:rsid w:val="00157E81"/>
    <w:rsid w:val="00173636"/>
    <w:rsid w:val="00573975"/>
    <w:rsid w:val="00577287"/>
    <w:rsid w:val="005E7BE1"/>
    <w:rsid w:val="0063335A"/>
    <w:rsid w:val="006B4D52"/>
    <w:rsid w:val="00751D99"/>
    <w:rsid w:val="00760AB5"/>
    <w:rsid w:val="00830286"/>
    <w:rsid w:val="00855BCC"/>
    <w:rsid w:val="00946115"/>
    <w:rsid w:val="00A14ABE"/>
    <w:rsid w:val="00A16BBE"/>
    <w:rsid w:val="00A4376D"/>
    <w:rsid w:val="00A43C91"/>
    <w:rsid w:val="00AB2C22"/>
    <w:rsid w:val="00AC76C2"/>
    <w:rsid w:val="00B8119B"/>
    <w:rsid w:val="00C020A9"/>
    <w:rsid w:val="00C7749D"/>
    <w:rsid w:val="00C843E3"/>
    <w:rsid w:val="00C8609F"/>
    <w:rsid w:val="00D452F9"/>
    <w:rsid w:val="00EF1A44"/>
    <w:rsid w:val="00FF2B9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C0534"/>
  <w15:docId w15:val="{71E287CC-EB62-42BE-A459-948DE9247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pPr>
      <w:ind w:left="832" w:hanging="360"/>
    </w:pPr>
  </w:style>
  <w:style w:type="paragraph" w:styleId="ListParagraph">
    <w:name w:val="List Paragraph"/>
    <w:basedOn w:val="Normal"/>
    <w:uiPriority w:val="1"/>
    <w:qFormat/>
    <w:pPr>
      <w:ind w:left="832" w:hanging="360"/>
    </w:pPr>
  </w:style>
  <w:style w:type="paragraph" w:customStyle="1" w:styleId="TableParagraph">
    <w:name w:val="Table Paragraph"/>
    <w:basedOn w:val="Normal"/>
    <w:uiPriority w:val="1"/>
    <w:qFormat/>
  </w:style>
  <w:style w:type="character" w:styleId="SubtleEmphasis">
    <w:name w:val="Subtle Emphasis"/>
    <w:basedOn w:val="DefaultParagraphFont"/>
    <w:uiPriority w:val="19"/>
    <w:qFormat/>
    <w:rsid w:val="00157E81"/>
    <w:rPr>
      <w:i/>
      <w:iCs/>
      <w:color w:val="404040" w:themeColor="text1" w:themeTint="BF"/>
    </w:rPr>
  </w:style>
  <w:style w:type="character" w:styleId="CommentReference">
    <w:name w:val="annotation reference"/>
    <w:basedOn w:val="DefaultParagraphFont"/>
    <w:uiPriority w:val="99"/>
    <w:semiHidden/>
    <w:unhideWhenUsed/>
    <w:rsid w:val="00C843E3"/>
    <w:rPr>
      <w:sz w:val="16"/>
      <w:szCs w:val="16"/>
    </w:rPr>
  </w:style>
  <w:style w:type="paragraph" w:styleId="CommentText">
    <w:name w:val="annotation text"/>
    <w:basedOn w:val="Normal"/>
    <w:link w:val="CommentTextChar"/>
    <w:uiPriority w:val="99"/>
    <w:unhideWhenUsed/>
    <w:rsid w:val="00C843E3"/>
    <w:rPr>
      <w:sz w:val="20"/>
      <w:szCs w:val="20"/>
    </w:rPr>
  </w:style>
  <w:style w:type="character" w:customStyle="1" w:styleId="CommentTextChar">
    <w:name w:val="Comment Text Char"/>
    <w:basedOn w:val="DefaultParagraphFont"/>
    <w:link w:val="CommentText"/>
    <w:uiPriority w:val="99"/>
    <w:rsid w:val="00C843E3"/>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C843E3"/>
    <w:rPr>
      <w:b/>
      <w:bCs/>
    </w:rPr>
  </w:style>
  <w:style w:type="character" w:customStyle="1" w:styleId="CommentSubjectChar">
    <w:name w:val="Comment Subject Char"/>
    <w:basedOn w:val="CommentTextChar"/>
    <w:link w:val="CommentSubject"/>
    <w:uiPriority w:val="99"/>
    <w:semiHidden/>
    <w:rsid w:val="00C843E3"/>
    <w:rPr>
      <w:rFonts w:ascii="Calibri" w:eastAsia="Calibri" w:hAnsi="Calibri" w:cs="Calibri"/>
      <w:b/>
      <w:bCs/>
      <w:sz w:val="20"/>
      <w:szCs w:val="20"/>
    </w:rPr>
  </w:style>
  <w:style w:type="character" w:customStyle="1" w:styleId="normaltextrun">
    <w:name w:val="normaltextrun"/>
    <w:basedOn w:val="DefaultParagraphFont"/>
    <w:rsid w:val="005739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647</Words>
  <Characters>3727</Characters>
  <Application>Microsoft Office Word</Application>
  <DocSecurity>0</DocSecurity>
  <Lines>57</Lines>
  <Paragraphs>23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Ancher Svensson</dc:creator>
  <cp:lastModifiedBy>Cagla Maria Erdem</cp:lastModifiedBy>
  <cp:revision>4</cp:revision>
  <dcterms:created xsi:type="dcterms:W3CDTF">2024-05-14T12:12:00Z</dcterms:created>
  <dcterms:modified xsi:type="dcterms:W3CDTF">2024-05-16T08:59:00Z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2014-09-22T00:00:00Z</vt:filetime>
  </property>
  <property fmtid="{D5CDD505-2E9C-101B-9397-08002B2CF9AE}" pid="3" name="Creator">
    <vt:lpwstr>Acrobat PDFMaker 11 til Word</vt:lpwstr>
  </property>
  <property fmtid="{D5CDD505-2E9C-101B-9397-08002B2CF9AE}" pid="4" name="LastSaved">
    <vt:filetime>2017-10-06T00:00:00Z</vt:filetime>
  </property>
</Properties>
</file>